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6B" w:rsidRDefault="00C0186B" w:rsidP="00402AA6">
      <w:pPr>
        <w:pStyle w:val="FootnoteText"/>
        <w:rPr>
          <w:rFonts w:ascii="Arial" w:hAnsi="Arial" w:cs="Arial"/>
          <w:sz w:val="24"/>
          <w:szCs w:val="24"/>
        </w:rPr>
      </w:pPr>
    </w:p>
    <w:p w:rsidR="00C0186B" w:rsidRPr="00FD6C97" w:rsidRDefault="002907DC" w:rsidP="00402AA6">
      <w:pPr>
        <w:jc w:val="center"/>
        <w:rPr>
          <w:rFonts w:ascii="Book Antiqua" w:hAnsi="Book Antiqua"/>
          <w:b/>
          <w:smallCaps/>
          <w:spacing w:val="-20"/>
          <w:sz w:val="32"/>
        </w:rPr>
      </w:pPr>
      <w:r>
        <w:rPr>
          <w:rFonts w:ascii="Book Antiqua" w:hAnsi="Book Antiqua"/>
          <w:b/>
          <w:smallCaps/>
          <w:sz w:val="34"/>
        </w:rPr>
        <w:t>Velocity Law, LLC</w:t>
      </w:r>
    </w:p>
    <w:p w:rsidR="00C0186B" w:rsidRPr="006F1AF4" w:rsidRDefault="002907DC" w:rsidP="00402AA6">
      <w:pPr>
        <w:spacing w:before="60"/>
        <w:jc w:val="center"/>
        <w:rPr>
          <w:rFonts w:ascii="Arial" w:hAnsi="Arial"/>
          <w:smallCaps/>
          <w:spacing w:val="20"/>
          <w:sz w:val="18"/>
          <w:szCs w:val="18"/>
        </w:rPr>
      </w:pPr>
      <w:r>
        <w:rPr>
          <w:rFonts w:ascii="Arial" w:hAnsi="Arial"/>
          <w:smallCaps/>
          <w:spacing w:val="20"/>
          <w:sz w:val="18"/>
          <w:szCs w:val="18"/>
        </w:rPr>
        <w:t>Business</w:t>
      </w:r>
      <w:r w:rsidR="00434C17">
        <w:rPr>
          <w:rFonts w:ascii="Arial" w:hAnsi="Arial"/>
          <w:smallCaps/>
          <w:spacing w:val="20"/>
          <w:sz w:val="18"/>
          <w:szCs w:val="18"/>
        </w:rPr>
        <w:t>. Corporate and Securities</w:t>
      </w:r>
      <w:r>
        <w:rPr>
          <w:rFonts w:ascii="Arial" w:hAnsi="Arial"/>
          <w:smallCaps/>
          <w:spacing w:val="20"/>
          <w:sz w:val="18"/>
          <w:szCs w:val="18"/>
        </w:rPr>
        <w:t xml:space="preserve"> Law Firm – Attorney Nancy Fallon-Houle</w:t>
      </w:r>
      <w:bookmarkStart w:id="0" w:name="_GoBack"/>
      <w:bookmarkEnd w:id="0"/>
    </w:p>
    <w:p w:rsidR="00C0186B" w:rsidRPr="006F1AF4" w:rsidRDefault="00C0186B" w:rsidP="00402AA6">
      <w:pPr>
        <w:spacing w:before="60"/>
        <w:jc w:val="center"/>
        <w:rPr>
          <w:rFonts w:ascii="Arial" w:hAnsi="Arial"/>
          <w:smallCaps/>
          <w:spacing w:val="20"/>
          <w:sz w:val="18"/>
          <w:szCs w:val="18"/>
        </w:rPr>
      </w:pPr>
      <w:r w:rsidRPr="006F1AF4">
        <w:rPr>
          <w:rFonts w:ascii="Arial" w:hAnsi="Arial"/>
          <w:spacing w:val="20"/>
          <w:sz w:val="18"/>
          <w:szCs w:val="18"/>
        </w:rPr>
        <w:t>5449</w:t>
      </w:r>
      <w:r w:rsidRPr="006F1AF4">
        <w:rPr>
          <w:rFonts w:ascii="Arial" w:hAnsi="Arial"/>
          <w:smallCaps/>
          <w:spacing w:val="20"/>
          <w:sz w:val="18"/>
          <w:szCs w:val="18"/>
        </w:rPr>
        <w:t xml:space="preserve"> bending oaks place</w:t>
      </w:r>
    </w:p>
    <w:p w:rsidR="00C0186B" w:rsidRDefault="00C0186B" w:rsidP="00402AA6">
      <w:pPr>
        <w:spacing w:before="60"/>
        <w:jc w:val="center"/>
        <w:rPr>
          <w:rFonts w:ascii="Arial" w:hAnsi="Arial"/>
          <w:smallCaps/>
          <w:spacing w:val="20"/>
          <w:sz w:val="18"/>
          <w:szCs w:val="18"/>
        </w:rPr>
      </w:pPr>
      <w:r w:rsidRPr="006F1AF4">
        <w:rPr>
          <w:rFonts w:ascii="Arial" w:hAnsi="Arial"/>
          <w:smallCaps/>
          <w:spacing w:val="20"/>
          <w:sz w:val="18"/>
          <w:szCs w:val="18"/>
        </w:rPr>
        <w:t xml:space="preserve">downers grove, </w:t>
      </w:r>
      <w:r w:rsidR="002235F3" w:rsidRPr="006F1AF4">
        <w:rPr>
          <w:rFonts w:ascii="Arial" w:hAnsi="Arial"/>
          <w:smallCaps/>
          <w:spacing w:val="20"/>
          <w:sz w:val="18"/>
          <w:szCs w:val="18"/>
        </w:rPr>
        <w:t>Illinois</w:t>
      </w:r>
      <w:r w:rsidRPr="006F1AF4">
        <w:rPr>
          <w:rFonts w:ascii="Arial" w:hAnsi="Arial"/>
          <w:smallCaps/>
          <w:spacing w:val="20"/>
          <w:sz w:val="18"/>
          <w:szCs w:val="18"/>
        </w:rPr>
        <w:t xml:space="preserve"> 60515-4456</w:t>
      </w:r>
    </w:p>
    <w:p w:rsidR="00C0186B" w:rsidRPr="005959F7" w:rsidRDefault="00434C17" w:rsidP="00402AA6">
      <w:pPr>
        <w:jc w:val="center"/>
        <w:rPr>
          <w:b/>
          <w:sz w:val="28"/>
          <w:szCs w:val="28"/>
        </w:rPr>
      </w:pPr>
      <w:hyperlink r:id="rId6" w:history="1">
        <w:r w:rsidRPr="000B439D">
          <w:rPr>
            <w:rStyle w:val="Hyperlink"/>
            <w:rFonts w:ascii="Arial" w:hAnsi="Arial" w:cs="Arial"/>
            <w:sz w:val="28"/>
            <w:szCs w:val="28"/>
          </w:rPr>
          <w:t>nfallon@velocitylaw.com</w:t>
        </w:r>
      </w:hyperlink>
      <w:r>
        <w:rPr>
          <w:rFonts w:ascii="Arial" w:hAnsi="Arial" w:cs="Arial"/>
          <w:sz w:val="28"/>
          <w:szCs w:val="28"/>
        </w:rPr>
        <w:t xml:space="preserve"> </w:t>
      </w:r>
      <w:r w:rsidR="00C0186B" w:rsidRPr="005959F7">
        <w:rPr>
          <w:sz w:val="28"/>
          <w:szCs w:val="28"/>
        </w:rPr>
        <w:t xml:space="preserve">       </w:t>
      </w:r>
      <w:r w:rsidR="00C0186B">
        <w:rPr>
          <w:sz w:val="28"/>
          <w:szCs w:val="28"/>
        </w:rPr>
        <w:t xml:space="preserve">   </w:t>
      </w:r>
      <w:r w:rsidR="00C0186B" w:rsidRPr="005959F7">
        <w:rPr>
          <w:sz w:val="28"/>
          <w:szCs w:val="28"/>
        </w:rPr>
        <w:t xml:space="preserve">  </w:t>
      </w:r>
      <w:r w:rsidR="00C0186B">
        <w:rPr>
          <w:sz w:val="28"/>
          <w:szCs w:val="28"/>
        </w:rPr>
        <w:t xml:space="preserve">   </w:t>
      </w:r>
      <w:r w:rsidR="00C0186B" w:rsidRPr="005959F7">
        <w:rPr>
          <w:sz w:val="28"/>
          <w:szCs w:val="28"/>
        </w:rPr>
        <w:t xml:space="preserve">  </w:t>
      </w:r>
      <w:r w:rsidR="00C0186B">
        <w:rPr>
          <w:sz w:val="28"/>
          <w:szCs w:val="28"/>
        </w:rPr>
        <w:t xml:space="preserve">  </w:t>
      </w:r>
      <w:r w:rsidR="00C0186B" w:rsidRPr="005959F7">
        <w:rPr>
          <w:sz w:val="28"/>
          <w:szCs w:val="28"/>
        </w:rPr>
        <w:t xml:space="preserve">  </w:t>
      </w:r>
      <w:r w:rsidR="00C0186B">
        <w:rPr>
          <w:sz w:val="28"/>
          <w:szCs w:val="28"/>
        </w:rPr>
        <w:t xml:space="preserve">               </w:t>
      </w:r>
      <w:r w:rsidR="00C0186B" w:rsidRPr="005959F7">
        <w:rPr>
          <w:sz w:val="28"/>
          <w:szCs w:val="28"/>
        </w:rPr>
        <w:t xml:space="preserve">     </w:t>
      </w:r>
      <w:r w:rsidR="00C0186B">
        <w:rPr>
          <w:sz w:val="24"/>
          <w:szCs w:val="24"/>
        </w:rPr>
        <w:t>63</w:t>
      </w:r>
      <w:r w:rsidR="00C0186B" w:rsidRPr="00E30EB2">
        <w:rPr>
          <w:sz w:val="24"/>
          <w:szCs w:val="24"/>
        </w:rPr>
        <w:t>0-963-0439</w:t>
      </w:r>
      <w:r w:rsidR="00C0186B">
        <w:rPr>
          <w:sz w:val="24"/>
          <w:szCs w:val="24"/>
        </w:rPr>
        <w:t xml:space="preserve"> x</w:t>
      </w:r>
      <w:r w:rsidR="00FD2C05">
        <w:rPr>
          <w:sz w:val="24"/>
          <w:szCs w:val="24"/>
        </w:rPr>
        <w:t xml:space="preserve"> </w:t>
      </w:r>
      <w:r w:rsidR="00C0186B">
        <w:rPr>
          <w:sz w:val="24"/>
          <w:szCs w:val="24"/>
        </w:rPr>
        <w:t>22</w:t>
      </w:r>
      <w:r w:rsidR="00C0186B">
        <w:rPr>
          <w:sz w:val="28"/>
          <w:szCs w:val="28"/>
        </w:rPr>
        <w:t xml:space="preserve">                                   </w:t>
      </w:r>
      <w:r w:rsidR="00C0186B" w:rsidRPr="005959F7">
        <w:rPr>
          <w:sz w:val="28"/>
          <w:szCs w:val="28"/>
        </w:rPr>
        <w:t xml:space="preserve">          </w:t>
      </w:r>
      <w:hyperlink r:id="rId7" w:history="1">
        <w:r w:rsidRPr="000B439D">
          <w:rPr>
            <w:rStyle w:val="Hyperlink"/>
            <w:rFonts w:ascii="Arial" w:hAnsi="Arial" w:cs="Arial"/>
            <w:sz w:val="28"/>
            <w:szCs w:val="28"/>
          </w:rPr>
          <w:t>www.velocitylaw.com</w:t>
        </w:r>
      </w:hyperlink>
      <w:r>
        <w:rPr>
          <w:rFonts w:ascii="Arial" w:hAnsi="Arial" w:cs="Arial"/>
          <w:sz w:val="28"/>
          <w:szCs w:val="28"/>
        </w:rPr>
        <w:t xml:space="preserve"> </w:t>
      </w:r>
    </w:p>
    <w:p w:rsidR="00C0186B" w:rsidRPr="00B32B99" w:rsidRDefault="00C0186B" w:rsidP="00402AA6">
      <w:pPr>
        <w:pStyle w:val="Title"/>
        <w:widowControl w:val="0"/>
        <w:rPr>
          <w:rFonts w:cs="Arial"/>
          <w:b w:val="0"/>
          <w:sz w:val="28"/>
          <w:szCs w:val="28"/>
        </w:rPr>
      </w:pPr>
      <w:r w:rsidRPr="00B32B99">
        <w:rPr>
          <w:rFonts w:cs="Arial"/>
          <w:b w:val="0"/>
          <w:szCs w:val="24"/>
        </w:rPr>
        <w:t>© Nancy Fallon-Houle, 1998-20</w:t>
      </w:r>
      <w:r>
        <w:rPr>
          <w:rFonts w:cs="Arial"/>
          <w:b w:val="0"/>
          <w:szCs w:val="24"/>
        </w:rPr>
        <w:t>1</w:t>
      </w:r>
      <w:r w:rsidR="00434C17">
        <w:rPr>
          <w:rFonts w:cs="Arial"/>
          <w:b w:val="0"/>
          <w:szCs w:val="24"/>
        </w:rPr>
        <w:t>6</w:t>
      </w:r>
    </w:p>
    <w:p w:rsidR="00C0186B" w:rsidRDefault="00C0186B" w:rsidP="00402AA6"/>
    <w:p w:rsidR="00C0186B" w:rsidRPr="00692184" w:rsidRDefault="00C0186B" w:rsidP="00402AA6">
      <w:pPr>
        <w:jc w:val="center"/>
        <w:rPr>
          <w:rFonts w:ascii="Times New Roman" w:hAnsi="Times New Roman"/>
          <w:b/>
          <w:i/>
          <w:sz w:val="32"/>
          <w:szCs w:val="32"/>
        </w:rPr>
      </w:pPr>
      <w:r w:rsidRPr="00692184">
        <w:rPr>
          <w:rFonts w:ascii="Times New Roman" w:hAnsi="Times New Roman"/>
          <w:b/>
          <w:i/>
          <w:sz w:val="32"/>
          <w:szCs w:val="32"/>
        </w:rPr>
        <w:t>Private Offering Chart</w:t>
      </w:r>
    </w:p>
    <w:p w:rsidR="00C0186B" w:rsidRDefault="00C0186B" w:rsidP="00402AA6">
      <w:pPr>
        <w:jc w:val="center"/>
        <w:rPr>
          <w:rFonts w:ascii="Times New Roman" w:hAnsi="Times New Roman"/>
          <w:b/>
          <w:i/>
          <w:sz w:val="32"/>
          <w:szCs w:val="32"/>
        </w:rPr>
      </w:pPr>
      <w:r w:rsidRPr="00692184">
        <w:rPr>
          <w:rFonts w:ascii="Times New Roman" w:hAnsi="Times New Roman"/>
          <w:b/>
          <w:i/>
          <w:sz w:val="32"/>
          <w:szCs w:val="32"/>
        </w:rPr>
        <w:t>Comparison of Private, Exempt Offering Types:  4(2), Reg</w:t>
      </w:r>
      <w:r w:rsidR="00402AA6" w:rsidRPr="00692184">
        <w:rPr>
          <w:rFonts w:ascii="Times New Roman" w:hAnsi="Times New Roman"/>
          <w:b/>
          <w:i/>
          <w:sz w:val="32"/>
          <w:szCs w:val="32"/>
        </w:rPr>
        <w:t>ulation</w:t>
      </w:r>
      <w:r w:rsidRPr="00692184">
        <w:rPr>
          <w:rFonts w:ascii="Times New Roman" w:hAnsi="Times New Roman"/>
          <w:b/>
          <w:i/>
          <w:sz w:val="32"/>
          <w:szCs w:val="32"/>
        </w:rPr>
        <w:t xml:space="preserve"> D 506</w:t>
      </w:r>
      <w:r w:rsidR="002907DC">
        <w:rPr>
          <w:rFonts w:ascii="Times New Roman" w:hAnsi="Times New Roman"/>
          <w:b/>
          <w:i/>
          <w:sz w:val="32"/>
          <w:szCs w:val="32"/>
        </w:rPr>
        <w:t>(b)</w:t>
      </w:r>
      <w:r w:rsidR="00402AA6" w:rsidRPr="00692184">
        <w:rPr>
          <w:rFonts w:ascii="Times New Roman" w:hAnsi="Times New Roman"/>
          <w:b/>
          <w:i/>
          <w:sz w:val="32"/>
          <w:szCs w:val="32"/>
        </w:rPr>
        <w:t>,</w:t>
      </w:r>
      <w:r w:rsidRPr="00692184">
        <w:rPr>
          <w:rFonts w:ascii="Times New Roman" w:hAnsi="Times New Roman"/>
          <w:b/>
          <w:i/>
          <w:sz w:val="32"/>
          <w:szCs w:val="32"/>
        </w:rPr>
        <w:t xml:space="preserve"> </w:t>
      </w:r>
      <w:r w:rsidR="002235F3" w:rsidRPr="00692184">
        <w:rPr>
          <w:rFonts w:ascii="Times New Roman" w:hAnsi="Times New Roman"/>
          <w:b/>
          <w:i/>
          <w:sz w:val="32"/>
          <w:szCs w:val="32"/>
        </w:rPr>
        <w:t>and</w:t>
      </w:r>
      <w:r w:rsidRPr="00692184">
        <w:rPr>
          <w:rFonts w:ascii="Times New Roman" w:hAnsi="Times New Roman"/>
          <w:b/>
          <w:i/>
          <w:sz w:val="32"/>
          <w:szCs w:val="32"/>
        </w:rPr>
        <w:t xml:space="preserve"> Reg</w:t>
      </w:r>
      <w:r w:rsidR="00402AA6" w:rsidRPr="00692184">
        <w:rPr>
          <w:rFonts w:ascii="Times New Roman" w:hAnsi="Times New Roman"/>
          <w:b/>
          <w:i/>
          <w:sz w:val="32"/>
          <w:szCs w:val="32"/>
        </w:rPr>
        <w:t>ulation</w:t>
      </w:r>
      <w:r w:rsidRPr="00692184">
        <w:rPr>
          <w:rFonts w:ascii="Times New Roman" w:hAnsi="Times New Roman"/>
          <w:b/>
          <w:i/>
          <w:sz w:val="32"/>
          <w:szCs w:val="32"/>
        </w:rPr>
        <w:t xml:space="preserve"> D 504 (SCOR)</w:t>
      </w:r>
    </w:p>
    <w:p w:rsidR="002907DC" w:rsidRPr="00692184" w:rsidRDefault="00F91D69" w:rsidP="00402AA6">
      <w:pPr>
        <w:jc w:val="center"/>
        <w:rPr>
          <w:rFonts w:ascii="Times New Roman" w:hAnsi="Times New Roman"/>
          <w:b/>
          <w:i/>
          <w:sz w:val="32"/>
          <w:szCs w:val="32"/>
        </w:rPr>
      </w:pPr>
      <w:r>
        <w:rPr>
          <w:rFonts w:ascii="Times New Roman" w:hAnsi="Times New Roman"/>
          <w:b/>
          <w:i/>
          <w:sz w:val="32"/>
          <w:szCs w:val="32"/>
        </w:rPr>
        <w:t>(See 506(c), Regulation A, and Crowdf</w:t>
      </w:r>
      <w:r w:rsidR="002907DC">
        <w:rPr>
          <w:rFonts w:ascii="Times New Roman" w:hAnsi="Times New Roman"/>
          <w:b/>
          <w:i/>
          <w:sz w:val="32"/>
          <w:szCs w:val="32"/>
        </w:rPr>
        <w:t>unding on Separate Chart)</w:t>
      </w:r>
    </w:p>
    <w:p w:rsidR="00C0186B" w:rsidRDefault="00C0186B" w:rsidP="00402AA6"/>
    <w:tbl>
      <w:tblPr>
        <w:tblStyle w:val="TableGrid"/>
        <w:tblW w:w="0" w:type="auto"/>
        <w:tblLayout w:type="fixed"/>
        <w:tblLook w:val="00A0" w:firstRow="1" w:lastRow="0" w:firstColumn="1" w:lastColumn="0" w:noHBand="0" w:noVBand="0"/>
      </w:tblPr>
      <w:tblGrid>
        <w:gridCol w:w="2502"/>
        <w:gridCol w:w="4090"/>
        <w:gridCol w:w="4090"/>
        <w:gridCol w:w="4233"/>
      </w:tblGrid>
      <w:tr w:rsidR="00C0186B" w:rsidRPr="00402AA6" w:rsidTr="00402AA6">
        <w:trPr>
          <w:tblHeader/>
        </w:trPr>
        <w:tc>
          <w:tcPr>
            <w:tcW w:w="2502" w:type="dxa"/>
            <w:shd w:val="clear" w:color="auto" w:fill="EEECE1" w:themeFill="background2"/>
          </w:tcPr>
          <w:p w:rsidR="00C0186B" w:rsidRPr="00402AA6" w:rsidRDefault="00C0186B" w:rsidP="00402AA6">
            <w:pPr>
              <w:ind w:firstLine="720"/>
              <w:rPr>
                <w:rFonts w:ascii="Arial" w:hAnsi="Arial" w:cs="Arial"/>
                <w:b/>
                <w:sz w:val="24"/>
              </w:rPr>
            </w:pPr>
          </w:p>
          <w:p w:rsidR="00C0186B" w:rsidRPr="00402AA6" w:rsidRDefault="00C0186B" w:rsidP="00402AA6">
            <w:pPr>
              <w:rPr>
                <w:rFonts w:ascii="Arial" w:hAnsi="Arial" w:cs="Arial"/>
                <w:b/>
                <w:sz w:val="24"/>
              </w:rPr>
            </w:pPr>
          </w:p>
        </w:tc>
        <w:tc>
          <w:tcPr>
            <w:tcW w:w="4090" w:type="dxa"/>
            <w:shd w:val="clear" w:color="auto" w:fill="EEECE1" w:themeFill="background2"/>
          </w:tcPr>
          <w:p w:rsidR="00C0186B" w:rsidRPr="00402AA6" w:rsidRDefault="00C0186B" w:rsidP="00402AA6">
            <w:pPr>
              <w:jc w:val="center"/>
              <w:rPr>
                <w:rFonts w:ascii="Arial" w:hAnsi="Arial" w:cs="Arial"/>
                <w:b/>
                <w:sz w:val="24"/>
                <w:lang w:val="fr-FR"/>
              </w:rPr>
            </w:pPr>
            <w:r w:rsidRPr="00402AA6">
              <w:rPr>
                <w:rFonts w:ascii="Arial" w:hAnsi="Arial" w:cs="Arial"/>
                <w:b/>
                <w:sz w:val="24"/>
                <w:lang w:val="fr-FR"/>
              </w:rPr>
              <w:t>Section 4(2)</w:t>
            </w:r>
          </w:p>
          <w:p w:rsidR="00C0186B" w:rsidRPr="00402AA6" w:rsidRDefault="00C0186B" w:rsidP="00402AA6">
            <w:pPr>
              <w:jc w:val="center"/>
              <w:rPr>
                <w:rFonts w:ascii="Arial" w:hAnsi="Arial" w:cs="Arial"/>
                <w:b/>
                <w:sz w:val="24"/>
                <w:lang w:val="fr-FR"/>
              </w:rPr>
            </w:pPr>
            <w:r w:rsidRPr="00402AA6">
              <w:rPr>
                <w:rFonts w:ascii="Arial" w:hAnsi="Arial" w:cs="Arial"/>
                <w:b/>
                <w:sz w:val="24"/>
                <w:lang w:val="fr-FR"/>
              </w:rPr>
              <w:t>Private Placement</w:t>
            </w:r>
          </w:p>
        </w:tc>
        <w:tc>
          <w:tcPr>
            <w:tcW w:w="4090" w:type="dxa"/>
            <w:shd w:val="clear" w:color="auto" w:fill="EEECE1" w:themeFill="background2"/>
          </w:tcPr>
          <w:p w:rsidR="00C0186B" w:rsidRPr="00402AA6" w:rsidRDefault="00C0186B" w:rsidP="00402AA6">
            <w:pPr>
              <w:jc w:val="center"/>
              <w:rPr>
                <w:rFonts w:ascii="Arial" w:hAnsi="Arial" w:cs="Arial"/>
                <w:b/>
                <w:sz w:val="24"/>
              </w:rPr>
            </w:pPr>
            <w:r w:rsidRPr="00402AA6">
              <w:rPr>
                <w:rFonts w:ascii="Arial" w:hAnsi="Arial" w:cs="Arial"/>
                <w:b/>
                <w:sz w:val="24"/>
              </w:rPr>
              <w:t>Regulation D, Rule 506</w:t>
            </w:r>
            <w:r w:rsidR="002907DC">
              <w:rPr>
                <w:rFonts w:ascii="Arial" w:hAnsi="Arial" w:cs="Arial"/>
                <w:b/>
                <w:sz w:val="24"/>
              </w:rPr>
              <w:t>(b)</w:t>
            </w:r>
          </w:p>
          <w:p w:rsidR="00C0186B" w:rsidRPr="00402AA6" w:rsidRDefault="00C0186B" w:rsidP="00402AA6">
            <w:pPr>
              <w:jc w:val="center"/>
              <w:rPr>
                <w:rFonts w:ascii="Arial" w:hAnsi="Arial" w:cs="Arial"/>
                <w:b/>
                <w:sz w:val="24"/>
              </w:rPr>
            </w:pPr>
            <w:r w:rsidRPr="00402AA6">
              <w:rPr>
                <w:rFonts w:ascii="Arial" w:hAnsi="Arial" w:cs="Arial"/>
                <w:b/>
                <w:sz w:val="24"/>
              </w:rPr>
              <w:t>Private Placement</w:t>
            </w:r>
          </w:p>
        </w:tc>
        <w:tc>
          <w:tcPr>
            <w:tcW w:w="4233" w:type="dxa"/>
            <w:shd w:val="clear" w:color="auto" w:fill="EEECE1" w:themeFill="background2"/>
          </w:tcPr>
          <w:p w:rsidR="00C0186B" w:rsidRPr="00402AA6" w:rsidRDefault="00C0186B" w:rsidP="00402AA6">
            <w:pPr>
              <w:jc w:val="center"/>
              <w:rPr>
                <w:rFonts w:ascii="Arial" w:hAnsi="Arial" w:cs="Arial"/>
                <w:b/>
                <w:sz w:val="24"/>
              </w:rPr>
            </w:pPr>
            <w:r w:rsidRPr="00402AA6">
              <w:rPr>
                <w:rFonts w:ascii="Arial" w:hAnsi="Arial" w:cs="Arial"/>
                <w:b/>
                <w:sz w:val="24"/>
              </w:rPr>
              <w:t>Regulation D, Rule 504 (SCOR)</w:t>
            </w:r>
          </w:p>
          <w:p w:rsidR="00C0186B" w:rsidRPr="00402AA6" w:rsidRDefault="00C0186B" w:rsidP="00402AA6">
            <w:pPr>
              <w:jc w:val="center"/>
              <w:rPr>
                <w:rFonts w:ascii="Arial" w:hAnsi="Arial" w:cs="Arial"/>
                <w:b/>
                <w:sz w:val="24"/>
              </w:rPr>
            </w:pPr>
            <w:r w:rsidRPr="00402AA6">
              <w:rPr>
                <w:rFonts w:ascii="Arial" w:hAnsi="Arial" w:cs="Arial"/>
                <w:b/>
                <w:sz w:val="24"/>
              </w:rPr>
              <w:t>Small Public Offering (Exempt)</w:t>
            </w:r>
          </w:p>
        </w:tc>
      </w:tr>
      <w:tr w:rsidR="00C0186B" w:rsidRPr="00402AA6" w:rsidTr="00402AA6">
        <w:tc>
          <w:tcPr>
            <w:tcW w:w="2502" w:type="dxa"/>
            <w:shd w:val="clear" w:color="auto" w:fill="F2F2F2" w:themeFill="background1" w:themeFillShade="F2"/>
          </w:tcPr>
          <w:p w:rsidR="00C0186B" w:rsidRPr="00692184" w:rsidRDefault="00C0186B" w:rsidP="00402AA6">
            <w:pPr>
              <w:pStyle w:val="Heading1"/>
              <w:rPr>
                <w:rFonts w:ascii="Arial" w:hAnsi="Arial" w:cs="Arial"/>
              </w:rPr>
            </w:pPr>
            <w:r w:rsidRPr="00692184">
              <w:rPr>
                <w:rFonts w:ascii="Arial" w:hAnsi="Arial" w:cs="Arial"/>
              </w:rPr>
              <w:t>Offering Type</w:t>
            </w:r>
          </w:p>
        </w:tc>
        <w:tc>
          <w:tcPr>
            <w:tcW w:w="4090" w:type="dxa"/>
          </w:tcPr>
          <w:p w:rsidR="00C0186B" w:rsidRPr="00402AA6" w:rsidRDefault="00C0186B" w:rsidP="00402AA6">
            <w:pPr>
              <w:rPr>
                <w:rFonts w:ascii="Arial" w:hAnsi="Arial" w:cs="Arial"/>
                <w:sz w:val="24"/>
              </w:rPr>
            </w:pPr>
            <w:r w:rsidRPr="00402AA6">
              <w:rPr>
                <w:rFonts w:ascii="Arial" w:hAnsi="Arial" w:cs="Arial"/>
                <w:sz w:val="24"/>
              </w:rPr>
              <w:t>Private: Very Small, Family &amp; Very Small Group of Close Friends; VC</w:t>
            </w:r>
            <w:r w:rsidR="00CA2461" w:rsidRPr="00402AA6">
              <w:rPr>
                <w:rFonts w:ascii="Arial" w:hAnsi="Arial" w:cs="Arial"/>
                <w:sz w:val="24"/>
              </w:rPr>
              <w:t>/PE</w:t>
            </w:r>
            <w:r w:rsidRPr="00402AA6">
              <w:rPr>
                <w:rFonts w:ascii="Arial" w:hAnsi="Arial" w:cs="Arial"/>
                <w:sz w:val="24"/>
              </w:rPr>
              <w:t xml:space="preserve"> deal with only VC</w:t>
            </w:r>
            <w:r w:rsidR="00CA2461" w:rsidRPr="00402AA6">
              <w:rPr>
                <w:rFonts w:ascii="Arial" w:hAnsi="Arial" w:cs="Arial"/>
                <w:sz w:val="24"/>
              </w:rPr>
              <w:t>/PE</w:t>
            </w:r>
            <w:r w:rsidRPr="00402AA6">
              <w:rPr>
                <w:rFonts w:ascii="Arial" w:hAnsi="Arial" w:cs="Arial"/>
                <w:sz w:val="24"/>
              </w:rPr>
              <w:t xml:space="preserve"> or institutional investors.</w:t>
            </w:r>
          </w:p>
        </w:tc>
        <w:tc>
          <w:tcPr>
            <w:tcW w:w="4090" w:type="dxa"/>
          </w:tcPr>
          <w:p w:rsidR="00C0186B" w:rsidRPr="00402AA6" w:rsidRDefault="00C0186B" w:rsidP="00402AA6">
            <w:pPr>
              <w:rPr>
                <w:rFonts w:ascii="Arial" w:hAnsi="Arial" w:cs="Arial"/>
                <w:sz w:val="24"/>
              </w:rPr>
            </w:pPr>
            <w:r w:rsidRPr="00402AA6">
              <w:rPr>
                <w:rFonts w:ascii="Arial" w:hAnsi="Arial" w:cs="Arial"/>
                <w:sz w:val="24"/>
              </w:rPr>
              <w:t>Private: Extended Family and Friends, acquaintances, business associates, VCs,</w:t>
            </w:r>
            <w:r w:rsidR="00CA2461" w:rsidRPr="00402AA6">
              <w:rPr>
                <w:rFonts w:ascii="Arial" w:hAnsi="Arial" w:cs="Arial"/>
                <w:sz w:val="24"/>
              </w:rPr>
              <w:t xml:space="preserve"> PE Funds,</w:t>
            </w:r>
            <w:r w:rsidRPr="00402AA6">
              <w:rPr>
                <w:rFonts w:ascii="Arial" w:hAnsi="Arial" w:cs="Arial"/>
                <w:sz w:val="24"/>
              </w:rPr>
              <w:t xml:space="preserve"> institutional investors.</w:t>
            </w:r>
          </w:p>
        </w:tc>
        <w:tc>
          <w:tcPr>
            <w:tcW w:w="4233" w:type="dxa"/>
          </w:tcPr>
          <w:p w:rsidR="00C0186B" w:rsidRPr="00402AA6" w:rsidRDefault="00C0186B" w:rsidP="00402AA6">
            <w:pPr>
              <w:rPr>
                <w:rFonts w:ascii="Arial" w:hAnsi="Arial" w:cs="Arial"/>
                <w:sz w:val="24"/>
              </w:rPr>
            </w:pPr>
            <w:r w:rsidRPr="00402AA6">
              <w:rPr>
                <w:rFonts w:ascii="Arial" w:hAnsi="Arial" w:cs="Arial"/>
                <w:sz w:val="24"/>
              </w:rPr>
              <w:t>Small Public, although Exempt.</w:t>
            </w:r>
          </w:p>
          <w:p w:rsidR="00C0186B" w:rsidRPr="00402AA6" w:rsidRDefault="00C0186B" w:rsidP="00402AA6">
            <w:pPr>
              <w:rPr>
                <w:rFonts w:ascii="Arial" w:hAnsi="Arial" w:cs="Arial"/>
                <w:sz w:val="24"/>
              </w:rPr>
            </w:pPr>
            <w:r w:rsidRPr="00402AA6">
              <w:rPr>
                <w:rFonts w:ascii="Arial" w:hAnsi="Arial" w:cs="Arial"/>
                <w:sz w:val="24"/>
              </w:rPr>
              <w:t>Any Offerees</w:t>
            </w:r>
            <w:r w:rsidR="00CA2461" w:rsidRPr="00402AA6">
              <w:rPr>
                <w:rFonts w:ascii="Arial" w:hAnsi="Arial" w:cs="Arial"/>
                <w:sz w:val="24"/>
              </w:rPr>
              <w:t>, no restrictions on sophistication or numbers, nonaccrediteds permitted</w:t>
            </w:r>
            <w:r w:rsidRPr="00402AA6">
              <w:rPr>
                <w:rFonts w:ascii="Arial" w:hAnsi="Arial" w:cs="Arial"/>
                <w:sz w:val="24"/>
              </w:rPr>
              <w:t>.</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Dollar Limit</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 Limit</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 Limit</w:t>
            </w:r>
          </w:p>
        </w:tc>
        <w:tc>
          <w:tcPr>
            <w:tcW w:w="4233" w:type="dxa"/>
          </w:tcPr>
          <w:p w:rsidR="00C0186B" w:rsidRPr="00402AA6" w:rsidRDefault="00C0186B" w:rsidP="00402AA6">
            <w:pPr>
              <w:rPr>
                <w:rFonts w:ascii="Arial" w:hAnsi="Arial" w:cs="Arial"/>
                <w:sz w:val="24"/>
              </w:rPr>
            </w:pPr>
            <w:r w:rsidRPr="00402AA6">
              <w:rPr>
                <w:rFonts w:ascii="Arial" w:hAnsi="Arial" w:cs="Arial"/>
                <w:sz w:val="24"/>
              </w:rPr>
              <w:t xml:space="preserve">$1,000,000 </w:t>
            </w:r>
            <w:r w:rsidRPr="00402AA6">
              <w:rPr>
                <w:rStyle w:val="FootnoteReference"/>
                <w:rFonts w:ascii="Arial" w:hAnsi="Arial" w:cs="Arial"/>
                <w:sz w:val="24"/>
              </w:rPr>
              <w:footnoteReference w:id="1"/>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Investor Limit and</w:t>
            </w:r>
          </w:p>
          <w:p w:rsidR="00C0186B" w:rsidRPr="00692184" w:rsidRDefault="00C0186B" w:rsidP="00402AA6">
            <w:pPr>
              <w:rPr>
                <w:rFonts w:ascii="Arial" w:hAnsi="Arial" w:cs="Arial"/>
                <w:b/>
                <w:sz w:val="24"/>
              </w:rPr>
            </w:pPr>
            <w:r w:rsidRPr="00692184">
              <w:rPr>
                <w:rFonts w:ascii="Arial" w:hAnsi="Arial" w:cs="Arial"/>
                <w:b/>
                <w:sz w:val="24"/>
              </w:rPr>
              <w:t>Characteristics</w:t>
            </w:r>
          </w:p>
        </w:tc>
        <w:tc>
          <w:tcPr>
            <w:tcW w:w="4090" w:type="dxa"/>
          </w:tcPr>
          <w:p w:rsidR="00C0186B" w:rsidRPr="00402AA6" w:rsidRDefault="00C0186B" w:rsidP="00200447">
            <w:pPr>
              <w:rPr>
                <w:rFonts w:ascii="Arial" w:hAnsi="Arial" w:cs="Arial"/>
                <w:sz w:val="24"/>
              </w:rPr>
            </w:pPr>
            <w:r w:rsidRPr="00402AA6">
              <w:rPr>
                <w:rFonts w:ascii="Arial" w:hAnsi="Arial" w:cs="Arial"/>
                <w:sz w:val="24"/>
              </w:rPr>
              <w:t>Only a few to 10 Investors, generally.</w:t>
            </w:r>
            <w:r w:rsidR="00692184">
              <w:rPr>
                <w:rFonts w:ascii="Arial" w:hAnsi="Arial" w:cs="Arial"/>
                <w:sz w:val="24"/>
              </w:rPr>
              <w:t xml:space="preserve"> </w:t>
            </w:r>
            <w:r w:rsidRPr="00402AA6">
              <w:rPr>
                <w:rFonts w:ascii="Arial" w:hAnsi="Arial" w:cs="Arial"/>
                <w:sz w:val="24"/>
              </w:rPr>
              <w:t>(</w:t>
            </w:r>
            <w:r w:rsidR="00692184">
              <w:rPr>
                <w:rFonts w:ascii="Arial" w:hAnsi="Arial" w:cs="Arial"/>
                <w:sz w:val="24"/>
              </w:rPr>
              <w:t>#</w:t>
            </w:r>
            <w:r w:rsidRPr="00402AA6">
              <w:rPr>
                <w:rFonts w:ascii="Arial" w:hAnsi="Arial" w:cs="Arial"/>
                <w:sz w:val="24"/>
              </w:rPr>
              <w:t xml:space="preserve"> subject to attorney’s judgment, and based on Issuer’s relationship with each investor and the nature of the investors. Generally no nonaccrediteds other than close family</w:t>
            </w:r>
            <w:r w:rsidR="00200447">
              <w:rPr>
                <w:rFonts w:ascii="Arial" w:hAnsi="Arial" w:cs="Arial"/>
                <w:sz w:val="24"/>
              </w:rPr>
              <w:t>.</w:t>
            </w:r>
            <w:r w:rsidRPr="00402AA6">
              <w:rPr>
                <w:rFonts w:ascii="Arial" w:hAnsi="Arial" w:cs="Arial"/>
                <w:sz w:val="24"/>
              </w:rPr>
              <w:t xml:space="preserve"> </w:t>
            </w:r>
          </w:p>
        </w:tc>
        <w:tc>
          <w:tcPr>
            <w:tcW w:w="4090" w:type="dxa"/>
          </w:tcPr>
          <w:p w:rsidR="00C0186B" w:rsidRPr="00402AA6" w:rsidRDefault="00C0186B" w:rsidP="00200447">
            <w:pPr>
              <w:rPr>
                <w:rFonts w:ascii="Arial" w:hAnsi="Arial" w:cs="Arial"/>
                <w:sz w:val="24"/>
              </w:rPr>
            </w:pPr>
            <w:r w:rsidRPr="00402AA6">
              <w:rPr>
                <w:rFonts w:ascii="Arial" w:hAnsi="Arial" w:cs="Arial"/>
                <w:sz w:val="24"/>
              </w:rPr>
              <w:t xml:space="preserve">35 Nonaccredited Investor Limit, and an unlimited number of Accredited </w:t>
            </w:r>
            <w:r w:rsidRPr="00402AA6">
              <w:rPr>
                <w:rStyle w:val="FootnoteReference"/>
                <w:rFonts w:ascii="Arial" w:hAnsi="Arial" w:cs="Arial"/>
                <w:sz w:val="24"/>
              </w:rPr>
              <w:footnoteReference w:id="2"/>
            </w:r>
            <w:r w:rsidRPr="00402AA6">
              <w:rPr>
                <w:rFonts w:ascii="Arial" w:hAnsi="Arial" w:cs="Arial"/>
                <w:sz w:val="24"/>
              </w:rPr>
              <w:t xml:space="preserve"> Investors.  Nonaccrediteds must be </w:t>
            </w:r>
            <w:r w:rsidR="00200447">
              <w:rPr>
                <w:rFonts w:ascii="Arial" w:hAnsi="Arial" w:cs="Arial"/>
                <w:sz w:val="24"/>
              </w:rPr>
              <w:t xml:space="preserve">financially </w:t>
            </w:r>
            <w:r w:rsidRPr="00402AA6">
              <w:rPr>
                <w:rFonts w:ascii="Arial" w:hAnsi="Arial" w:cs="Arial"/>
                <w:sz w:val="24"/>
              </w:rPr>
              <w:t>sophisticated investors, requiring an “Investor Questionnaire”.</w:t>
            </w:r>
            <w:r w:rsidR="00692184">
              <w:rPr>
                <w:rFonts w:ascii="Arial" w:hAnsi="Arial" w:cs="Arial"/>
                <w:sz w:val="24"/>
              </w:rPr>
              <w:t xml:space="preserve"> </w:t>
            </w:r>
            <w:r w:rsidR="00200447">
              <w:rPr>
                <w:rFonts w:ascii="Arial" w:hAnsi="Arial" w:cs="Arial"/>
                <w:sz w:val="24"/>
              </w:rPr>
              <w:t>Disclosure doc to Nonaccrediteds required</w:t>
            </w:r>
            <w:r w:rsidR="00692184" w:rsidRPr="00402AA6">
              <w:rPr>
                <w:rFonts w:ascii="Arial" w:hAnsi="Arial" w:cs="Arial"/>
                <w:sz w:val="24"/>
              </w:rPr>
              <w:t>.</w:t>
            </w:r>
          </w:p>
        </w:tc>
        <w:tc>
          <w:tcPr>
            <w:tcW w:w="4233" w:type="dxa"/>
          </w:tcPr>
          <w:p w:rsidR="00C0186B" w:rsidRPr="00402AA6" w:rsidRDefault="00692184" w:rsidP="00402AA6">
            <w:pPr>
              <w:rPr>
                <w:rFonts w:ascii="Arial" w:hAnsi="Arial" w:cs="Arial"/>
                <w:sz w:val="24"/>
              </w:rPr>
            </w:pPr>
            <w:r>
              <w:rPr>
                <w:rFonts w:ascii="Arial" w:hAnsi="Arial" w:cs="Arial"/>
                <w:sz w:val="24"/>
              </w:rPr>
              <w:t>No limit on Number of Investors.</w:t>
            </w:r>
            <w:r w:rsidR="00C0186B" w:rsidRPr="00402AA6">
              <w:rPr>
                <w:rFonts w:ascii="Arial" w:hAnsi="Arial" w:cs="Arial"/>
                <w:sz w:val="24"/>
              </w:rPr>
              <w:t xml:space="preserve"> No required investor characteristics.  </w:t>
            </w:r>
          </w:p>
          <w:p w:rsidR="00C0186B" w:rsidRPr="00402AA6" w:rsidRDefault="00692184" w:rsidP="00692184">
            <w:pPr>
              <w:rPr>
                <w:rFonts w:ascii="Arial" w:hAnsi="Arial" w:cs="Arial"/>
                <w:sz w:val="24"/>
              </w:rPr>
            </w:pPr>
            <w:r>
              <w:rPr>
                <w:rFonts w:ascii="Arial" w:hAnsi="Arial" w:cs="Arial"/>
                <w:sz w:val="24"/>
              </w:rPr>
              <w:t xml:space="preserve">Some registration states may </w:t>
            </w:r>
            <w:r w:rsidR="00C0186B" w:rsidRPr="00402AA6">
              <w:rPr>
                <w:rFonts w:ascii="Arial" w:hAnsi="Arial" w:cs="Arial"/>
                <w:sz w:val="24"/>
              </w:rPr>
              <w:t>impose suitability standards on investors in their state, depen</w:t>
            </w:r>
            <w:r>
              <w:rPr>
                <w:rFonts w:ascii="Arial" w:hAnsi="Arial" w:cs="Arial"/>
                <w:sz w:val="24"/>
              </w:rPr>
              <w:t>ding on risk level of offering: Development s</w:t>
            </w:r>
            <w:r w:rsidR="00C0186B" w:rsidRPr="00402AA6">
              <w:rPr>
                <w:rFonts w:ascii="Arial" w:hAnsi="Arial" w:cs="Arial"/>
                <w:sz w:val="24"/>
              </w:rPr>
              <w:t xml:space="preserve">tage, financial condition, </w:t>
            </w:r>
            <w:r>
              <w:rPr>
                <w:rFonts w:ascii="Arial" w:hAnsi="Arial" w:cs="Arial"/>
                <w:sz w:val="24"/>
              </w:rPr>
              <w:t xml:space="preserve">management </w:t>
            </w:r>
            <w:r w:rsidR="00C0186B" w:rsidRPr="00402AA6">
              <w:rPr>
                <w:rFonts w:ascii="Arial" w:hAnsi="Arial" w:cs="Arial"/>
                <w:sz w:val="24"/>
              </w:rPr>
              <w:t>experience).</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lastRenderedPageBreak/>
              <w:t>Internet Advertising or General Solicitation Permitted?</w:t>
            </w:r>
          </w:p>
        </w:tc>
        <w:tc>
          <w:tcPr>
            <w:tcW w:w="4090" w:type="dxa"/>
          </w:tcPr>
          <w:p w:rsidR="00C0186B" w:rsidRPr="00402AA6" w:rsidRDefault="00CA2461" w:rsidP="00402AA6">
            <w:pPr>
              <w:rPr>
                <w:rFonts w:ascii="Arial" w:hAnsi="Arial" w:cs="Arial"/>
                <w:sz w:val="24"/>
              </w:rPr>
            </w:pPr>
            <w:r w:rsidRPr="00402AA6">
              <w:rPr>
                <w:rFonts w:ascii="Arial" w:hAnsi="Arial" w:cs="Arial"/>
                <w:sz w:val="24"/>
              </w:rPr>
              <w:t xml:space="preserve">No.  Investors must have </w:t>
            </w:r>
            <w:r w:rsidR="00C0186B" w:rsidRPr="00402AA6">
              <w:rPr>
                <w:rFonts w:ascii="Arial" w:hAnsi="Arial" w:cs="Arial"/>
                <w:sz w:val="24"/>
              </w:rPr>
              <w:t>pre-existing relationship with Issuer or principals.</w:t>
            </w:r>
          </w:p>
        </w:tc>
        <w:tc>
          <w:tcPr>
            <w:tcW w:w="4090" w:type="dxa"/>
          </w:tcPr>
          <w:p w:rsidR="00C0186B" w:rsidRPr="00402AA6" w:rsidRDefault="00C0186B" w:rsidP="00402AA6">
            <w:pPr>
              <w:rPr>
                <w:rFonts w:ascii="Arial" w:hAnsi="Arial" w:cs="Arial"/>
                <w:sz w:val="24"/>
              </w:rPr>
            </w:pPr>
            <w:r w:rsidRPr="00402AA6">
              <w:rPr>
                <w:rFonts w:ascii="Arial" w:hAnsi="Arial" w:cs="Arial"/>
                <w:sz w:val="24"/>
              </w:rPr>
              <w:t xml:space="preserve">No.  Investors must have pre-existing relationship with Issuer or principals.  ACE.Net, IPO.Net, </w:t>
            </w:r>
            <w:r w:rsidR="002235F3" w:rsidRPr="00402AA6">
              <w:rPr>
                <w:rFonts w:ascii="Arial" w:hAnsi="Arial" w:cs="Arial"/>
                <w:sz w:val="24"/>
              </w:rPr>
              <w:t>etc.</w:t>
            </w:r>
            <w:r w:rsidRPr="00402AA6">
              <w:rPr>
                <w:rFonts w:ascii="Arial" w:hAnsi="Arial" w:cs="Arial"/>
                <w:sz w:val="24"/>
              </w:rPr>
              <w:t>, permissible only in very limited states, and only if &lt; $1,000,000 sold to all accrediteds.</w:t>
            </w:r>
            <w:r w:rsidR="00A048C2" w:rsidRPr="00402AA6">
              <w:rPr>
                <w:rFonts w:ascii="Arial" w:hAnsi="Arial" w:cs="Arial"/>
                <w:sz w:val="24"/>
              </w:rPr>
              <w:t xml:space="preserve"> New law 4/2012</w:t>
            </w:r>
            <w:r w:rsidR="002907DC">
              <w:rPr>
                <w:rFonts w:ascii="Arial" w:hAnsi="Arial" w:cs="Arial"/>
                <w:sz w:val="24"/>
              </w:rPr>
              <w:t xml:space="preserve"> under Reg D Rule 506(c)</w:t>
            </w:r>
            <w:r w:rsidR="00A048C2" w:rsidRPr="00402AA6">
              <w:rPr>
                <w:rFonts w:ascii="Arial" w:hAnsi="Arial" w:cs="Arial"/>
                <w:sz w:val="24"/>
              </w:rPr>
              <w:t>: Solicitation allowed if o</w:t>
            </w:r>
            <w:r w:rsidR="00E86B78">
              <w:rPr>
                <w:rFonts w:ascii="Arial" w:hAnsi="Arial" w:cs="Arial"/>
                <w:sz w:val="24"/>
              </w:rPr>
              <w:t>nly sell to confirmed accredited investors.</w:t>
            </w:r>
          </w:p>
        </w:tc>
        <w:tc>
          <w:tcPr>
            <w:tcW w:w="4233" w:type="dxa"/>
          </w:tcPr>
          <w:p w:rsidR="00C0186B" w:rsidRPr="00402AA6" w:rsidRDefault="00C0186B" w:rsidP="00402AA6">
            <w:pPr>
              <w:rPr>
                <w:rFonts w:ascii="Arial" w:hAnsi="Arial" w:cs="Arial"/>
                <w:sz w:val="24"/>
              </w:rPr>
            </w:pPr>
            <w:r w:rsidRPr="00402AA6">
              <w:rPr>
                <w:rFonts w:ascii="Arial" w:hAnsi="Arial" w:cs="Arial"/>
                <w:sz w:val="24"/>
              </w:rPr>
              <w:t xml:space="preserve">Yes.  Prior relationship with investors not required.  Permitted: </w:t>
            </w:r>
            <w:r w:rsidR="00CA2461" w:rsidRPr="00402AA6">
              <w:rPr>
                <w:rFonts w:ascii="Arial" w:hAnsi="Arial" w:cs="Arial"/>
                <w:sz w:val="24"/>
              </w:rPr>
              <w:t xml:space="preserve"> </w:t>
            </w:r>
            <w:r w:rsidRPr="00402AA6">
              <w:rPr>
                <w:rFonts w:ascii="Arial" w:hAnsi="Arial" w:cs="Arial"/>
                <w:sz w:val="24"/>
              </w:rPr>
              <w:t xml:space="preserve">Internet, Website, radio, TV, </w:t>
            </w:r>
            <w:r w:rsidR="00CA2461" w:rsidRPr="00402AA6">
              <w:rPr>
                <w:rFonts w:ascii="Arial" w:hAnsi="Arial" w:cs="Arial"/>
                <w:sz w:val="24"/>
              </w:rPr>
              <w:t xml:space="preserve">seminars, </w:t>
            </w:r>
            <w:r w:rsidRPr="00402AA6">
              <w:rPr>
                <w:rFonts w:ascii="Arial" w:hAnsi="Arial" w:cs="Arial"/>
                <w:sz w:val="24"/>
              </w:rPr>
              <w:t xml:space="preserve">cold calls, </w:t>
            </w:r>
            <w:r w:rsidR="00FB6F68" w:rsidRPr="00402AA6">
              <w:rPr>
                <w:rFonts w:ascii="Arial" w:hAnsi="Arial" w:cs="Arial"/>
                <w:sz w:val="24"/>
              </w:rPr>
              <w:t>and ads</w:t>
            </w:r>
            <w:r w:rsidRPr="00402AA6">
              <w:rPr>
                <w:rFonts w:ascii="Arial" w:hAnsi="Arial" w:cs="Arial"/>
                <w:sz w:val="24"/>
              </w:rPr>
              <w:t xml:space="preserve">, if restricted to states in which offering is registered. </w:t>
            </w:r>
            <w:r w:rsidR="00CA2461" w:rsidRPr="00402AA6">
              <w:rPr>
                <w:rFonts w:ascii="Arial" w:hAnsi="Arial" w:cs="Arial"/>
                <w:sz w:val="24"/>
              </w:rPr>
              <w:t xml:space="preserve"> ACE.Net &amp;</w:t>
            </w:r>
            <w:r w:rsidRPr="00402AA6">
              <w:rPr>
                <w:rFonts w:ascii="Arial" w:hAnsi="Arial" w:cs="Arial"/>
                <w:sz w:val="24"/>
              </w:rPr>
              <w:t xml:space="preserve"> IPO.Net</w:t>
            </w:r>
            <w:r w:rsidR="00CA2461" w:rsidRPr="00402AA6">
              <w:rPr>
                <w:rFonts w:ascii="Arial" w:hAnsi="Arial" w:cs="Arial"/>
                <w:sz w:val="24"/>
              </w:rPr>
              <w:t xml:space="preserve"> offers permitted </w:t>
            </w:r>
            <w:r w:rsidR="002235F3" w:rsidRPr="00402AA6">
              <w:rPr>
                <w:rFonts w:ascii="Arial" w:hAnsi="Arial" w:cs="Arial"/>
                <w:sz w:val="24"/>
              </w:rPr>
              <w:t xml:space="preserve">in </w:t>
            </w:r>
            <w:r w:rsidR="00CA2461" w:rsidRPr="00402AA6">
              <w:rPr>
                <w:rFonts w:ascii="Arial" w:hAnsi="Arial" w:cs="Arial"/>
                <w:sz w:val="24"/>
              </w:rPr>
              <w:t xml:space="preserve">states where notice filings </w:t>
            </w:r>
            <w:r w:rsidR="002235F3" w:rsidRPr="00402AA6">
              <w:rPr>
                <w:rFonts w:ascii="Arial" w:hAnsi="Arial" w:cs="Arial"/>
                <w:sz w:val="24"/>
              </w:rPr>
              <w:t xml:space="preserve">made. </w:t>
            </w:r>
          </w:p>
        </w:tc>
      </w:tr>
      <w:tr w:rsidR="00C0186B" w:rsidRPr="00402AA6" w:rsidTr="00402AA6">
        <w:tc>
          <w:tcPr>
            <w:tcW w:w="2502" w:type="dxa"/>
            <w:shd w:val="clear" w:color="auto" w:fill="F2F2F2" w:themeFill="background1" w:themeFillShade="F2"/>
          </w:tcPr>
          <w:p w:rsidR="00C0186B" w:rsidRPr="00692184" w:rsidRDefault="00C0186B" w:rsidP="00402AA6">
            <w:pPr>
              <w:keepNext/>
              <w:rPr>
                <w:rFonts w:ascii="Arial" w:hAnsi="Arial" w:cs="Arial"/>
                <w:b/>
                <w:sz w:val="24"/>
              </w:rPr>
            </w:pPr>
            <w:r w:rsidRPr="00692184">
              <w:rPr>
                <w:rFonts w:ascii="Arial" w:hAnsi="Arial" w:cs="Arial"/>
                <w:b/>
              </w:rPr>
              <w:br w:type="page"/>
            </w:r>
            <w:r w:rsidRPr="00692184">
              <w:rPr>
                <w:rFonts w:ascii="Arial" w:hAnsi="Arial" w:cs="Arial"/>
                <w:b/>
                <w:sz w:val="24"/>
              </w:rPr>
              <w:t>Audited Financials Required</w:t>
            </w:r>
          </w:p>
        </w:tc>
        <w:tc>
          <w:tcPr>
            <w:tcW w:w="4090" w:type="dxa"/>
          </w:tcPr>
          <w:p w:rsidR="00C0186B" w:rsidRPr="00402AA6" w:rsidRDefault="00C0186B" w:rsidP="00402AA6">
            <w:pPr>
              <w:keepNext/>
              <w:rPr>
                <w:rFonts w:ascii="Arial" w:hAnsi="Arial" w:cs="Arial"/>
                <w:sz w:val="24"/>
              </w:rPr>
            </w:pPr>
            <w:r w:rsidRPr="00402AA6">
              <w:rPr>
                <w:rFonts w:ascii="Arial" w:hAnsi="Arial" w:cs="Arial"/>
                <w:sz w:val="24"/>
              </w:rPr>
              <w:t>No</w:t>
            </w:r>
            <w:r w:rsidR="00CA2461" w:rsidRPr="00402AA6">
              <w:rPr>
                <w:rFonts w:ascii="Arial" w:hAnsi="Arial" w:cs="Arial"/>
                <w:sz w:val="24"/>
              </w:rPr>
              <w:t>ne</w:t>
            </w:r>
            <w:r w:rsidRPr="00402AA6">
              <w:rPr>
                <w:rFonts w:ascii="Arial" w:hAnsi="Arial" w:cs="Arial"/>
                <w:sz w:val="24"/>
              </w:rPr>
              <w:t>.  However, significant credibility given to Issuer with audited or reviewed financials; some VC’s insist upon.</w:t>
            </w:r>
          </w:p>
        </w:tc>
        <w:tc>
          <w:tcPr>
            <w:tcW w:w="4090" w:type="dxa"/>
          </w:tcPr>
          <w:p w:rsidR="00C0186B" w:rsidRPr="00402AA6" w:rsidRDefault="00C0186B" w:rsidP="00402AA6">
            <w:pPr>
              <w:keepNext/>
              <w:keepLines/>
              <w:rPr>
                <w:rFonts w:ascii="Arial" w:hAnsi="Arial" w:cs="Arial"/>
                <w:sz w:val="24"/>
              </w:rPr>
            </w:pPr>
            <w:r w:rsidRPr="00402AA6">
              <w:rPr>
                <w:rFonts w:ascii="Arial" w:hAnsi="Arial" w:cs="Arial"/>
                <w:sz w:val="24"/>
              </w:rPr>
              <w:t>None, if all accredited investors.</w:t>
            </w:r>
          </w:p>
          <w:p w:rsidR="00C0186B" w:rsidRPr="00402AA6" w:rsidRDefault="00C0186B" w:rsidP="00402AA6">
            <w:pPr>
              <w:keepNext/>
              <w:keepLines/>
              <w:rPr>
                <w:rFonts w:ascii="Arial" w:hAnsi="Arial" w:cs="Arial"/>
                <w:sz w:val="24"/>
              </w:rPr>
            </w:pPr>
            <w:r w:rsidRPr="00402AA6">
              <w:rPr>
                <w:rFonts w:ascii="Arial" w:hAnsi="Arial" w:cs="Arial"/>
                <w:sz w:val="24"/>
              </w:rPr>
              <w:t>Required for federal exemption if any nonaccredited investors.  However, significant credibility given to Issuer with audited or reviewed financials; some investors insist upon audits.</w:t>
            </w:r>
            <w:r w:rsidR="00CA2461" w:rsidRPr="00402AA6">
              <w:rPr>
                <w:rFonts w:ascii="Arial" w:hAnsi="Arial" w:cs="Arial"/>
                <w:sz w:val="24"/>
              </w:rPr>
              <w:t xml:space="preserve"> Audited financials becoming “market” for all private offerings.</w:t>
            </w:r>
          </w:p>
        </w:tc>
        <w:tc>
          <w:tcPr>
            <w:tcW w:w="4233" w:type="dxa"/>
          </w:tcPr>
          <w:p w:rsidR="00C0186B" w:rsidRPr="00402AA6" w:rsidRDefault="00CA2461" w:rsidP="00402AA6">
            <w:pPr>
              <w:keepNext/>
              <w:keepLines/>
              <w:rPr>
                <w:rFonts w:ascii="Arial" w:hAnsi="Arial" w:cs="Arial"/>
                <w:sz w:val="24"/>
              </w:rPr>
            </w:pPr>
            <w:r w:rsidRPr="00402AA6">
              <w:rPr>
                <w:rFonts w:ascii="Arial" w:hAnsi="Arial" w:cs="Arial"/>
                <w:sz w:val="24"/>
              </w:rPr>
              <w:t xml:space="preserve">Yes.  </w:t>
            </w:r>
            <w:r w:rsidR="00C0186B" w:rsidRPr="00402AA6">
              <w:rPr>
                <w:rFonts w:ascii="Arial" w:hAnsi="Arial" w:cs="Arial"/>
                <w:sz w:val="24"/>
              </w:rPr>
              <w:t xml:space="preserve">None for federal, but because SEC requires </w:t>
            </w:r>
            <w:r w:rsidRPr="00402AA6">
              <w:rPr>
                <w:rFonts w:ascii="Arial" w:hAnsi="Arial" w:cs="Arial"/>
                <w:sz w:val="24"/>
              </w:rPr>
              <w:t xml:space="preserve">registration in </w:t>
            </w:r>
            <w:r w:rsidR="00C0186B" w:rsidRPr="00402AA6">
              <w:rPr>
                <w:rFonts w:ascii="Arial" w:hAnsi="Arial" w:cs="Arial"/>
                <w:sz w:val="24"/>
              </w:rPr>
              <w:t xml:space="preserve">at least one </w:t>
            </w:r>
            <w:r w:rsidRPr="00402AA6">
              <w:rPr>
                <w:rFonts w:ascii="Arial" w:hAnsi="Arial" w:cs="Arial"/>
                <w:sz w:val="24"/>
              </w:rPr>
              <w:t xml:space="preserve">merit review </w:t>
            </w:r>
            <w:r w:rsidR="00C0186B" w:rsidRPr="00402AA6">
              <w:rPr>
                <w:rFonts w:ascii="Arial" w:hAnsi="Arial" w:cs="Arial"/>
                <w:sz w:val="24"/>
              </w:rPr>
              <w:t>state, and GAAP audited (or reviewed) financials are generally required for state merit review, then GAAP audited (or reviewed) financials are required.  Some states require 1 year, some 2 years, TX = 3</w:t>
            </w:r>
            <w:r w:rsidR="00C0186B" w:rsidRPr="00402AA6">
              <w:rPr>
                <w:rFonts w:ascii="Arial" w:hAnsi="Arial" w:cs="Arial"/>
              </w:rPr>
              <w:t xml:space="preserve"> years.)  </w:t>
            </w:r>
            <w:r w:rsidR="00C0186B" w:rsidRPr="00402AA6">
              <w:rPr>
                <w:rFonts w:ascii="Arial" w:hAnsi="Arial" w:cs="Arial"/>
                <w:sz w:val="24"/>
              </w:rPr>
              <w:t>No audit required for IL</w:t>
            </w:r>
            <w:r w:rsidR="00C0186B" w:rsidRPr="00402AA6">
              <w:rPr>
                <w:rFonts w:ascii="Arial" w:hAnsi="Arial" w:cs="Arial"/>
              </w:rPr>
              <w:t>.  “</w:t>
            </w:r>
            <w:r w:rsidR="00C0186B" w:rsidRPr="00402AA6">
              <w:rPr>
                <w:rFonts w:ascii="Arial" w:hAnsi="Arial" w:cs="Arial"/>
                <w:sz w:val="24"/>
              </w:rPr>
              <w:t>Reviewed” required for some U-7 / SCOR states.  Significant credibility given to issuers with audited financials.  No merit review, and no audited financials, required if all investors are accredited, and all offerees reasonably believed to be accredited (“MAI Exemption”)</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SEC Filing Type</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None at federal level (but states are a landmine of myriad inconsistent filings).  § 4(2) Exemption.</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Notice Filing on SEC Form D 15 days after 1</w:t>
            </w:r>
            <w:r w:rsidRPr="00402AA6">
              <w:rPr>
                <w:rFonts w:ascii="Arial" w:hAnsi="Arial" w:cs="Arial"/>
                <w:sz w:val="24"/>
                <w:vertAlign w:val="superscript"/>
              </w:rPr>
              <w:t>st</w:t>
            </w:r>
            <w:r w:rsidRPr="00402AA6">
              <w:rPr>
                <w:rFonts w:ascii="Arial" w:hAnsi="Arial" w:cs="Arial"/>
                <w:sz w:val="24"/>
              </w:rPr>
              <w:t xml:space="preserve"> sale; 10-page Form D Filed electronically on EDGAR after 4-5 day process of EDGAR application. No PPM filing, review or comment by SEC.</w:t>
            </w:r>
          </w:p>
        </w:tc>
        <w:tc>
          <w:tcPr>
            <w:tcW w:w="4233" w:type="dxa"/>
          </w:tcPr>
          <w:p w:rsidR="00C0186B" w:rsidRPr="00402AA6" w:rsidRDefault="00C0186B" w:rsidP="00402AA6">
            <w:pPr>
              <w:rPr>
                <w:rFonts w:ascii="Arial" w:hAnsi="Arial" w:cs="Arial"/>
                <w:sz w:val="24"/>
              </w:rPr>
            </w:pPr>
            <w:r w:rsidRPr="00402AA6">
              <w:rPr>
                <w:rFonts w:ascii="Arial" w:hAnsi="Arial" w:cs="Arial"/>
                <w:sz w:val="24"/>
              </w:rPr>
              <w:t>Notice Filing on SEC Form D 15 days after 1</w:t>
            </w:r>
            <w:r w:rsidRPr="00402AA6">
              <w:rPr>
                <w:rFonts w:ascii="Arial" w:hAnsi="Arial" w:cs="Arial"/>
                <w:sz w:val="24"/>
                <w:vertAlign w:val="superscript"/>
              </w:rPr>
              <w:t>st</w:t>
            </w:r>
            <w:r w:rsidRPr="00402AA6">
              <w:rPr>
                <w:rFonts w:ascii="Arial" w:hAnsi="Arial" w:cs="Arial"/>
                <w:sz w:val="24"/>
              </w:rPr>
              <w:t xml:space="preserve"> sale; 10-page Form D Filed electronically on EDGAR after 4-5 day process of EDGAR application. No PPM filing, review or comment by SEC.</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SEC Filing Fee</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None</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None</w:t>
            </w:r>
          </w:p>
        </w:tc>
        <w:tc>
          <w:tcPr>
            <w:tcW w:w="4233" w:type="dxa"/>
          </w:tcPr>
          <w:p w:rsidR="00C0186B" w:rsidRPr="00402AA6" w:rsidRDefault="00C0186B" w:rsidP="00402AA6">
            <w:pPr>
              <w:rPr>
                <w:rFonts w:ascii="Arial" w:hAnsi="Arial" w:cs="Arial"/>
                <w:sz w:val="24"/>
              </w:rPr>
            </w:pPr>
            <w:r w:rsidRPr="00402AA6">
              <w:rPr>
                <w:rFonts w:ascii="Arial" w:hAnsi="Arial" w:cs="Arial"/>
                <w:sz w:val="24"/>
              </w:rPr>
              <w:t>None</w:t>
            </w:r>
          </w:p>
        </w:tc>
      </w:tr>
      <w:tr w:rsidR="00C0186B" w:rsidRPr="00402AA6" w:rsidTr="00402AA6">
        <w:tc>
          <w:tcPr>
            <w:tcW w:w="2502" w:type="dxa"/>
            <w:shd w:val="clear" w:color="auto" w:fill="F2F2F2" w:themeFill="background1" w:themeFillShade="F2"/>
          </w:tcPr>
          <w:p w:rsidR="00C0186B" w:rsidRPr="00692184" w:rsidRDefault="00C0186B" w:rsidP="00402AA6">
            <w:pPr>
              <w:pStyle w:val="Heading2"/>
              <w:keepNext w:val="0"/>
              <w:widowControl w:val="0"/>
              <w:rPr>
                <w:rFonts w:ascii="Arial" w:hAnsi="Arial" w:cs="Arial"/>
                <w:b/>
              </w:rPr>
            </w:pPr>
            <w:r w:rsidRPr="00692184">
              <w:rPr>
                <w:rFonts w:ascii="Arial" w:hAnsi="Arial" w:cs="Arial"/>
                <w:b/>
              </w:rPr>
              <w:t>NASD Filing Type</w:t>
            </w:r>
          </w:p>
        </w:tc>
        <w:tc>
          <w:tcPr>
            <w:tcW w:w="4090" w:type="dxa"/>
          </w:tcPr>
          <w:p w:rsidR="00C0186B" w:rsidRPr="00402AA6" w:rsidRDefault="00C0186B" w:rsidP="00402AA6">
            <w:pPr>
              <w:rPr>
                <w:rFonts w:ascii="Arial" w:hAnsi="Arial" w:cs="Arial"/>
                <w:sz w:val="24"/>
              </w:rPr>
            </w:pPr>
            <w:r w:rsidRPr="00402AA6">
              <w:rPr>
                <w:rFonts w:ascii="Arial" w:hAnsi="Arial" w:cs="Arial"/>
                <w:sz w:val="24"/>
              </w:rPr>
              <w:t>N/A.</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None</w:t>
            </w:r>
          </w:p>
        </w:tc>
        <w:tc>
          <w:tcPr>
            <w:tcW w:w="4233" w:type="dxa"/>
          </w:tcPr>
          <w:p w:rsidR="00C0186B" w:rsidRPr="00402AA6" w:rsidRDefault="00C0186B" w:rsidP="00402AA6">
            <w:pPr>
              <w:rPr>
                <w:rFonts w:ascii="Arial" w:hAnsi="Arial" w:cs="Arial"/>
                <w:sz w:val="24"/>
              </w:rPr>
            </w:pPr>
            <w:r w:rsidRPr="00402AA6">
              <w:rPr>
                <w:rFonts w:ascii="Arial" w:hAnsi="Arial" w:cs="Arial"/>
                <w:sz w:val="24"/>
              </w:rPr>
              <w:t>None required for issuer. Broker may use 15c2-11 (Form 211). (Not recommended)</w:t>
            </w:r>
          </w:p>
        </w:tc>
      </w:tr>
      <w:tr w:rsidR="00C0186B" w:rsidRPr="00402AA6" w:rsidTr="00402AA6">
        <w:tc>
          <w:tcPr>
            <w:tcW w:w="2502" w:type="dxa"/>
            <w:shd w:val="clear" w:color="auto" w:fill="F2F2F2" w:themeFill="background1" w:themeFillShade="F2"/>
          </w:tcPr>
          <w:p w:rsidR="00C0186B" w:rsidRPr="00692184" w:rsidRDefault="00C0186B" w:rsidP="00402AA6">
            <w:pPr>
              <w:pStyle w:val="Heading2"/>
              <w:widowControl w:val="0"/>
              <w:rPr>
                <w:rFonts w:ascii="Arial" w:hAnsi="Arial" w:cs="Arial"/>
                <w:b/>
              </w:rPr>
            </w:pPr>
            <w:r w:rsidRPr="00692184">
              <w:rPr>
                <w:rFonts w:ascii="Arial" w:hAnsi="Arial" w:cs="Arial"/>
                <w:b/>
              </w:rPr>
              <w:t>State Filing Type</w:t>
            </w:r>
          </w:p>
        </w:tc>
        <w:tc>
          <w:tcPr>
            <w:tcW w:w="4090" w:type="dxa"/>
          </w:tcPr>
          <w:p w:rsidR="00C0186B" w:rsidRPr="00402AA6" w:rsidRDefault="00C0186B" w:rsidP="00402AA6">
            <w:pPr>
              <w:rPr>
                <w:rFonts w:ascii="Arial" w:hAnsi="Arial" w:cs="Arial"/>
                <w:sz w:val="24"/>
              </w:rPr>
            </w:pPr>
            <w:r w:rsidRPr="00402AA6">
              <w:rPr>
                <w:rFonts w:ascii="Arial" w:hAnsi="Arial" w:cs="Arial"/>
                <w:sz w:val="24"/>
              </w:rPr>
              <w:t xml:space="preserve">Notice Filing required in many states, some </w:t>
            </w:r>
            <w:r w:rsidRPr="00402AA6">
              <w:rPr>
                <w:rFonts w:ascii="Arial" w:hAnsi="Arial" w:cs="Arial"/>
                <w:sz w:val="24"/>
                <w:u w:val="single"/>
              </w:rPr>
              <w:t>before</w:t>
            </w:r>
            <w:r w:rsidRPr="00402AA6">
              <w:rPr>
                <w:rFonts w:ascii="Arial" w:hAnsi="Arial" w:cs="Arial"/>
                <w:sz w:val="24"/>
              </w:rPr>
              <w:t xml:space="preserve"> offer or sale; myriad of inconsistent filing, legend and exemption requirements among states.  Some states require legends in PPM and Subscription Agreement, </w:t>
            </w:r>
            <w:r w:rsidRPr="00402AA6">
              <w:rPr>
                <w:rFonts w:ascii="Arial" w:hAnsi="Arial" w:cs="Arial"/>
                <w:sz w:val="24"/>
              </w:rPr>
              <w:lastRenderedPageBreak/>
              <w:t>and minimum net worth or income in that state.</w:t>
            </w:r>
          </w:p>
          <w:p w:rsidR="00C0186B" w:rsidRPr="00402AA6" w:rsidRDefault="00C0186B" w:rsidP="00402AA6">
            <w:pPr>
              <w:rPr>
                <w:rFonts w:ascii="Arial" w:hAnsi="Arial" w:cs="Arial"/>
                <w:sz w:val="24"/>
              </w:rPr>
            </w:pPr>
          </w:p>
          <w:p w:rsidR="00C0186B" w:rsidRPr="00402AA6" w:rsidRDefault="00C0186B" w:rsidP="00402AA6">
            <w:pPr>
              <w:rPr>
                <w:rFonts w:ascii="Arial" w:hAnsi="Arial" w:cs="Arial"/>
                <w:sz w:val="24"/>
              </w:rPr>
            </w:pPr>
            <w:r w:rsidRPr="00402AA6">
              <w:rPr>
                <w:rFonts w:ascii="Arial" w:hAnsi="Arial" w:cs="Arial"/>
                <w:sz w:val="24"/>
              </w:rPr>
              <w:t>Some states have no filing. No commissions or finders’ fees, even if to registered broker.</w:t>
            </w:r>
          </w:p>
        </w:tc>
        <w:tc>
          <w:tcPr>
            <w:tcW w:w="4090" w:type="dxa"/>
          </w:tcPr>
          <w:p w:rsidR="00C0186B" w:rsidRPr="00402AA6" w:rsidRDefault="00C0186B" w:rsidP="00402AA6">
            <w:pPr>
              <w:rPr>
                <w:rFonts w:ascii="Arial" w:hAnsi="Arial" w:cs="Arial"/>
                <w:sz w:val="24"/>
              </w:rPr>
            </w:pPr>
            <w:r w:rsidRPr="00402AA6">
              <w:rPr>
                <w:rFonts w:ascii="Arial" w:hAnsi="Arial" w:cs="Arial"/>
                <w:sz w:val="24"/>
              </w:rPr>
              <w:lastRenderedPageBreak/>
              <w:t xml:space="preserve">Notice Filing required 15 days after first sale in each of 49 states.  (However, notice required </w:t>
            </w:r>
            <w:r w:rsidRPr="00402AA6">
              <w:rPr>
                <w:rFonts w:ascii="Arial" w:hAnsi="Arial" w:cs="Arial"/>
                <w:sz w:val="24"/>
                <w:u w:val="single"/>
              </w:rPr>
              <w:t>before</w:t>
            </w:r>
            <w:r w:rsidRPr="00402AA6">
              <w:rPr>
                <w:rFonts w:ascii="Arial" w:hAnsi="Arial" w:cs="Arial"/>
                <w:sz w:val="24"/>
              </w:rPr>
              <w:t xml:space="preserve"> offers in NY).  </w:t>
            </w:r>
          </w:p>
        </w:tc>
        <w:tc>
          <w:tcPr>
            <w:tcW w:w="4233" w:type="dxa"/>
          </w:tcPr>
          <w:p w:rsidR="00C0186B" w:rsidRPr="00402AA6" w:rsidRDefault="00C0186B" w:rsidP="00402AA6">
            <w:pPr>
              <w:rPr>
                <w:rFonts w:ascii="Arial" w:hAnsi="Arial" w:cs="Arial"/>
                <w:sz w:val="24"/>
              </w:rPr>
            </w:pPr>
            <w:r w:rsidRPr="00402AA6">
              <w:rPr>
                <w:rFonts w:ascii="Arial" w:hAnsi="Arial" w:cs="Arial"/>
                <w:sz w:val="24"/>
              </w:rPr>
              <w:t xml:space="preserve">1.  Registrations required in at least one merit review state in order to comply with federal Rule 504 exemption, unless offers and sales made only to accredited investors.   Registrations required in most states before conducting general public </w:t>
            </w:r>
            <w:r w:rsidRPr="00402AA6">
              <w:rPr>
                <w:rFonts w:ascii="Arial" w:hAnsi="Arial" w:cs="Arial"/>
                <w:sz w:val="24"/>
              </w:rPr>
              <w:lastRenderedPageBreak/>
              <w:t>solicitation in those states, (including offers on internet or posting book on Website).</w:t>
            </w:r>
          </w:p>
          <w:p w:rsidR="00C0186B" w:rsidRPr="00402AA6" w:rsidRDefault="00C0186B" w:rsidP="00402AA6">
            <w:pPr>
              <w:rPr>
                <w:rFonts w:ascii="Arial" w:hAnsi="Arial" w:cs="Arial"/>
                <w:sz w:val="24"/>
              </w:rPr>
            </w:pPr>
            <w:r w:rsidRPr="00402AA6">
              <w:rPr>
                <w:rFonts w:ascii="Arial" w:hAnsi="Arial" w:cs="Arial"/>
                <w:sz w:val="24"/>
              </w:rPr>
              <w:t>Use either SCOR Format (Form U-7) or narrative offering memo format.</w:t>
            </w:r>
          </w:p>
          <w:p w:rsidR="00C0186B" w:rsidRPr="00402AA6" w:rsidRDefault="00C0186B" w:rsidP="00402AA6">
            <w:pPr>
              <w:rPr>
                <w:rFonts w:ascii="Arial" w:hAnsi="Arial" w:cs="Arial"/>
                <w:sz w:val="24"/>
              </w:rPr>
            </w:pPr>
            <w:r w:rsidRPr="00402AA6">
              <w:rPr>
                <w:rFonts w:ascii="Arial" w:hAnsi="Arial" w:cs="Arial"/>
                <w:sz w:val="24"/>
              </w:rPr>
              <w:t xml:space="preserve">2.  If offering and selling only to confirmed accredited investors, a notice filing, rather than a registration, is permitted in about 25 states, under the Model Accredited Investor Exemption. </w:t>
            </w:r>
            <w:r w:rsidRPr="00402AA6">
              <w:rPr>
                <w:rStyle w:val="FootnoteReference"/>
                <w:rFonts w:ascii="Arial" w:hAnsi="Arial" w:cs="Arial"/>
                <w:sz w:val="24"/>
              </w:rPr>
              <w:footnoteReference w:id="3"/>
            </w:r>
          </w:p>
        </w:tc>
      </w:tr>
      <w:tr w:rsidR="00C0186B" w:rsidRPr="00402AA6" w:rsidTr="00402AA6">
        <w:tc>
          <w:tcPr>
            <w:tcW w:w="2502" w:type="dxa"/>
            <w:shd w:val="clear" w:color="auto" w:fill="F2F2F2" w:themeFill="background1" w:themeFillShade="F2"/>
          </w:tcPr>
          <w:p w:rsidR="00C0186B" w:rsidRPr="00692184" w:rsidRDefault="00C0186B" w:rsidP="00402AA6">
            <w:pPr>
              <w:widowControl w:val="0"/>
              <w:rPr>
                <w:rFonts w:ascii="Arial" w:hAnsi="Arial" w:cs="Arial"/>
                <w:b/>
                <w:sz w:val="24"/>
              </w:rPr>
            </w:pPr>
            <w:r w:rsidRPr="00692184">
              <w:rPr>
                <w:rFonts w:ascii="Arial" w:hAnsi="Arial" w:cs="Arial"/>
                <w:b/>
                <w:sz w:val="24"/>
              </w:rPr>
              <w:lastRenderedPageBreak/>
              <w:t xml:space="preserve">Legal Fees: Offering Document Cost </w:t>
            </w:r>
            <w:r w:rsidRPr="00692184">
              <w:rPr>
                <w:rStyle w:val="FootnoteReference"/>
                <w:rFonts w:ascii="Arial" w:hAnsi="Arial" w:cs="Arial"/>
                <w:b/>
                <w:sz w:val="24"/>
              </w:rPr>
              <w:footnoteReference w:id="4"/>
            </w:r>
            <w:r w:rsidRPr="00692184">
              <w:rPr>
                <w:rFonts w:ascii="Arial" w:hAnsi="Arial" w:cs="Arial"/>
                <w:b/>
                <w:sz w:val="24"/>
              </w:rPr>
              <w:t xml:space="preserve"> (Approximate)</w:t>
            </w:r>
          </w:p>
        </w:tc>
        <w:tc>
          <w:tcPr>
            <w:tcW w:w="4090" w:type="dxa"/>
          </w:tcPr>
          <w:p w:rsidR="00C0186B" w:rsidRPr="00402AA6" w:rsidRDefault="009B4F78" w:rsidP="00402AA6">
            <w:pPr>
              <w:rPr>
                <w:rFonts w:ascii="Arial" w:hAnsi="Arial" w:cs="Arial"/>
                <w:sz w:val="24"/>
              </w:rPr>
            </w:pPr>
            <w:r>
              <w:rPr>
                <w:rFonts w:ascii="Arial" w:hAnsi="Arial" w:cs="Arial"/>
                <w:sz w:val="24"/>
              </w:rPr>
              <w:t>$ 10,000 to $20</w:t>
            </w:r>
            <w:r w:rsidR="00C0186B" w:rsidRPr="00402AA6">
              <w:rPr>
                <w:rFonts w:ascii="Arial" w:hAnsi="Arial" w:cs="Arial"/>
                <w:sz w:val="24"/>
              </w:rPr>
              <w:t>,000</w:t>
            </w:r>
          </w:p>
          <w:p w:rsidR="00C0186B" w:rsidRPr="00402AA6" w:rsidRDefault="00C0186B" w:rsidP="00402AA6">
            <w:pPr>
              <w:rPr>
                <w:rFonts w:ascii="Arial" w:hAnsi="Arial" w:cs="Arial"/>
                <w:sz w:val="24"/>
              </w:rPr>
            </w:pPr>
            <w:r w:rsidRPr="00402AA6">
              <w:rPr>
                <w:rFonts w:ascii="Arial" w:hAnsi="Arial" w:cs="Arial"/>
                <w:sz w:val="24"/>
              </w:rPr>
              <w:t xml:space="preserve">(Depends on number of investors, their sophistication; how close their </w:t>
            </w:r>
            <w:r w:rsidRPr="00402AA6">
              <w:rPr>
                <w:rFonts w:ascii="Arial" w:hAnsi="Arial" w:cs="Arial"/>
                <w:sz w:val="24"/>
              </w:rPr>
              <w:lastRenderedPageBreak/>
              <w:t>relationships are to the Issuer, and their states of residence.  If the relationship is close enough, then is it possible to use NO disclosure book, and save several thousand in legal fees; though these sophisticated investors often negotiate the investor agreements, which trigger higher legal fees in the Shareholder Agreement.</w:t>
            </w:r>
          </w:p>
        </w:tc>
        <w:tc>
          <w:tcPr>
            <w:tcW w:w="4090" w:type="dxa"/>
          </w:tcPr>
          <w:p w:rsidR="00C0186B" w:rsidRPr="00402AA6" w:rsidRDefault="009B4F78" w:rsidP="00402AA6">
            <w:pPr>
              <w:rPr>
                <w:rFonts w:ascii="Arial" w:hAnsi="Arial" w:cs="Arial"/>
                <w:sz w:val="24"/>
              </w:rPr>
            </w:pPr>
            <w:r>
              <w:rPr>
                <w:rFonts w:ascii="Arial" w:hAnsi="Arial" w:cs="Arial"/>
                <w:sz w:val="24"/>
              </w:rPr>
              <w:lastRenderedPageBreak/>
              <w:t>$35,000 - $60</w:t>
            </w:r>
            <w:r w:rsidR="00C0186B" w:rsidRPr="00402AA6">
              <w:rPr>
                <w:rFonts w:ascii="Arial" w:hAnsi="Arial" w:cs="Arial"/>
                <w:sz w:val="24"/>
              </w:rPr>
              <w:t xml:space="preserve">,000 if all accrediteds.  </w:t>
            </w:r>
          </w:p>
          <w:p w:rsidR="00C0186B" w:rsidRPr="00402AA6" w:rsidRDefault="009B4F78" w:rsidP="00402AA6">
            <w:pPr>
              <w:rPr>
                <w:rFonts w:ascii="Arial" w:hAnsi="Arial" w:cs="Arial"/>
                <w:sz w:val="24"/>
              </w:rPr>
            </w:pPr>
            <w:r>
              <w:rPr>
                <w:rFonts w:ascii="Arial" w:hAnsi="Arial" w:cs="Arial"/>
                <w:sz w:val="24"/>
              </w:rPr>
              <w:t>$55 - $8</w:t>
            </w:r>
            <w:r w:rsidR="00C0186B" w:rsidRPr="00402AA6">
              <w:rPr>
                <w:rFonts w:ascii="Arial" w:hAnsi="Arial" w:cs="Arial"/>
                <w:sz w:val="24"/>
              </w:rPr>
              <w:t xml:space="preserve">5,000 if any nonaccrediteds.  (For nonaccrediteds, offering </w:t>
            </w:r>
            <w:r w:rsidR="00C0186B" w:rsidRPr="00402AA6">
              <w:rPr>
                <w:rFonts w:ascii="Arial" w:hAnsi="Arial" w:cs="Arial"/>
                <w:sz w:val="24"/>
              </w:rPr>
              <w:lastRenderedPageBreak/>
              <w:t xml:space="preserve">document must be full statutory disclosure on Form SB-1, Form 1-A, or Form S-1, audited financials are required; investor sophistication questionnaire required; tax section in O.M. may be required.  </w:t>
            </w:r>
          </w:p>
          <w:p w:rsidR="00C0186B" w:rsidRPr="00402AA6" w:rsidRDefault="00C0186B" w:rsidP="00402AA6">
            <w:pPr>
              <w:rPr>
                <w:rFonts w:ascii="Arial" w:hAnsi="Arial" w:cs="Arial"/>
                <w:sz w:val="24"/>
              </w:rPr>
            </w:pPr>
            <w:r w:rsidRPr="00402AA6">
              <w:rPr>
                <w:rFonts w:ascii="Arial" w:hAnsi="Arial" w:cs="Arial"/>
                <w:sz w:val="24"/>
              </w:rPr>
              <w:t>Legal fee cost for either accredited or nonaccredited will increase if finder involved and substantially if broker involved.  Pre-written business plan and biographies will keep costs down.</w:t>
            </w:r>
          </w:p>
        </w:tc>
        <w:tc>
          <w:tcPr>
            <w:tcW w:w="4233" w:type="dxa"/>
          </w:tcPr>
          <w:p w:rsidR="00C0186B" w:rsidRPr="00402AA6" w:rsidRDefault="00C0186B" w:rsidP="00402AA6">
            <w:pPr>
              <w:rPr>
                <w:rFonts w:ascii="Arial" w:hAnsi="Arial" w:cs="Arial"/>
                <w:sz w:val="24"/>
              </w:rPr>
            </w:pPr>
            <w:r w:rsidRPr="00402AA6">
              <w:rPr>
                <w:rFonts w:ascii="Arial" w:hAnsi="Arial" w:cs="Arial"/>
                <w:sz w:val="24"/>
              </w:rPr>
              <w:lastRenderedPageBreak/>
              <w:t>$4</w:t>
            </w:r>
            <w:r w:rsidR="00E166B6" w:rsidRPr="00402AA6">
              <w:rPr>
                <w:rFonts w:ascii="Arial" w:hAnsi="Arial" w:cs="Arial"/>
                <w:sz w:val="24"/>
              </w:rPr>
              <w:t>5</w:t>
            </w:r>
            <w:r w:rsidR="009B4F78">
              <w:rPr>
                <w:rFonts w:ascii="Arial" w:hAnsi="Arial" w:cs="Arial"/>
                <w:sz w:val="24"/>
              </w:rPr>
              <w:t>K to $85</w:t>
            </w:r>
            <w:r w:rsidRPr="00402AA6">
              <w:rPr>
                <w:rFonts w:ascii="Arial" w:hAnsi="Arial" w:cs="Arial"/>
                <w:sz w:val="24"/>
              </w:rPr>
              <w:t xml:space="preserve">,000 for offering doc and one merit state registration, plus </w:t>
            </w:r>
            <w:r w:rsidRPr="00402AA6">
              <w:rPr>
                <w:rFonts w:ascii="Arial" w:hAnsi="Arial" w:cs="Arial"/>
                <w:sz w:val="24"/>
              </w:rPr>
              <w:lastRenderedPageBreak/>
              <w:t>$2,500 for SEC Form D preparation and filing.</w:t>
            </w:r>
          </w:p>
          <w:p w:rsidR="00C0186B" w:rsidRPr="00402AA6" w:rsidRDefault="00C0186B" w:rsidP="00402AA6">
            <w:pPr>
              <w:rPr>
                <w:rFonts w:ascii="Arial" w:hAnsi="Arial" w:cs="Arial"/>
                <w:sz w:val="24"/>
              </w:rPr>
            </w:pPr>
            <w:r w:rsidRPr="00402AA6">
              <w:rPr>
                <w:rFonts w:ascii="Arial" w:hAnsi="Arial" w:cs="Arial"/>
                <w:sz w:val="24"/>
              </w:rPr>
              <w:t>Pre-written business plan is critical to keeping costs down, and issuer drafting SCOR Form U-7 causes issuer to focus on necessary issues, keeping costs down.  Legal fee costs increase substantially if broker, finder or stock exchange involved. Excludes State Filing Fees.  Excludes State Legal Fees for any states other than 1.  Excludes post-offering sale reporting. Excludes forming or reorganizing issuer.</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lastRenderedPageBreak/>
              <w:t>Legal Fees: SEC Filing Cost</w:t>
            </w:r>
          </w:p>
        </w:tc>
        <w:tc>
          <w:tcPr>
            <w:tcW w:w="4090" w:type="dxa"/>
          </w:tcPr>
          <w:p w:rsidR="00C0186B" w:rsidRPr="00402AA6" w:rsidRDefault="00C0186B" w:rsidP="00402AA6">
            <w:pPr>
              <w:rPr>
                <w:rFonts w:ascii="Arial" w:hAnsi="Arial" w:cs="Arial"/>
                <w:sz w:val="24"/>
              </w:rPr>
            </w:pPr>
            <w:r w:rsidRPr="00402AA6">
              <w:rPr>
                <w:rFonts w:ascii="Arial" w:hAnsi="Arial" w:cs="Arial"/>
                <w:sz w:val="24"/>
              </w:rPr>
              <w:t>N/A</w:t>
            </w:r>
          </w:p>
        </w:tc>
        <w:tc>
          <w:tcPr>
            <w:tcW w:w="8323" w:type="dxa"/>
            <w:gridSpan w:val="2"/>
          </w:tcPr>
          <w:p w:rsidR="00C0186B" w:rsidRPr="00402AA6" w:rsidRDefault="00C0186B" w:rsidP="00402AA6">
            <w:pPr>
              <w:rPr>
                <w:rFonts w:ascii="Arial" w:hAnsi="Arial" w:cs="Arial"/>
                <w:sz w:val="24"/>
              </w:rPr>
            </w:pPr>
            <w:r w:rsidRPr="00402AA6">
              <w:rPr>
                <w:rFonts w:ascii="Arial" w:hAnsi="Arial" w:cs="Arial"/>
                <w:sz w:val="24"/>
              </w:rPr>
              <w:t>$2,500 to $3,000 for SEC Form D preparation and filing with SEC.</w:t>
            </w:r>
          </w:p>
          <w:p w:rsidR="00C0186B" w:rsidRPr="00402AA6" w:rsidRDefault="00C0186B" w:rsidP="00402AA6">
            <w:pPr>
              <w:rPr>
                <w:rFonts w:ascii="Arial" w:hAnsi="Arial" w:cs="Arial"/>
                <w:sz w:val="24"/>
              </w:rPr>
            </w:pPr>
            <w:r w:rsidRPr="00402AA6">
              <w:rPr>
                <w:rFonts w:ascii="Arial" w:hAnsi="Arial" w:cs="Arial"/>
                <w:sz w:val="24"/>
              </w:rPr>
              <w:t>Excludes State Filing Fees &amp; State</w:t>
            </w:r>
            <w:r w:rsidR="00200447">
              <w:rPr>
                <w:rFonts w:ascii="Arial" w:hAnsi="Arial" w:cs="Arial"/>
                <w:sz w:val="24"/>
              </w:rPr>
              <w:t xml:space="preserve"> Registration</w:t>
            </w:r>
            <w:r w:rsidRPr="00402AA6">
              <w:rPr>
                <w:rFonts w:ascii="Arial" w:hAnsi="Arial" w:cs="Arial"/>
                <w:sz w:val="24"/>
              </w:rPr>
              <w:t xml:space="preserve"> Legal Fees.  Excludes post-offering sale reporting.</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State Filing Fees</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Notice Filing Fees average $300 per state.</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Notice Filing Fees average $300 per state, and range between: $100 and $1485; NY = $1485; MA = $750; IL, MI, KY and NV=$100; CA, FL, IN=$0.</w:t>
            </w:r>
          </w:p>
        </w:tc>
        <w:tc>
          <w:tcPr>
            <w:tcW w:w="4233" w:type="dxa"/>
          </w:tcPr>
          <w:p w:rsidR="00C0186B" w:rsidRPr="00402AA6" w:rsidRDefault="00C0186B" w:rsidP="00402AA6">
            <w:pPr>
              <w:rPr>
                <w:rFonts w:ascii="Arial" w:hAnsi="Arial" w:cs="Arial"/>
                <w:sz w:val="24"/>
              </w:rPr>
            </w:pPr>
            <w:r w:rsidRPr="00402AA6">
              <w:rPr>
                <w:rFonts w:ascii="Arial" w:hAnsi="Arial" w:cs="Arial"/>
                <w:sz w:val="24"/>
              </w:rPr>
              <w:t>Registration Fees:  Average is $600 per state.  In addition, Issuer/Agent registration fees average $400 per state for states requiring it.</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Legal Fees: State Filings</w:t>
            </w:r>
          </w:p>
        </w:tc>
        <w:tc>
          <w:tcPr>
            <w:tcW w:w="4090" w:type="dxa"/>
          </w:tcPr>
          <w:p w:rsidR="00C0186B" w:rsidRPr="00402AA6" w:rsidRDefault="00C0186B" w:rsidP="00402AA6">
            <w:pPr>
              <w:rPr>
                <w:rFonts w:ascii="Arial" w:hAnsi="Arial" w:cs="Arial"/>
                <w:sz w:val="24"/>
              </w:rPr>
            </w:pPr>
            <w:r w:rsidRPr="00402AA6">
              <w:rPr>
                <w:rFonts w:ascii="Arial" w:hAnsi="Arial" w:cs="Arial"/>
                <w:sz w:val="24"/>
              </w:rPr>
              <w:t>Special Notice Forms, legend conditions and state representations vary in each state; average $600 per state.</w:t>
            </w:r>
          </w:p>
        </w:tc>
        <w:tc>
          <w:tcPr>
            <w:tcW w:w="4090" w:type="dxa"/>
          </w:tcPr>
          <w:p w:rsidR="00C0186B" w:rsidRPr="00402AA6" w:rsidRDefault="00C0186B" w:rsidP="00402AA6">
            <w:pPr>
              <w:rPr>
                <w:rFonts w:ascii="Arial" w:hAnsi="Arial" w:cs="Arial"/>
                <w:sz w:val="24"/>
              </w:rPr>
            </w:pPr>
            <w:r w:rsidRPr="00402AA6">
              <w:rPr>
                <w:rFonts w:ascii="Arial" w:hAnsi="Arial" w:cs="Arial"/>
                <w:sz w:val="24"/>
              </w:rPr>
              <w:t>$600 flat fee per state.</w:t>
            </w:r>
          </w:p>
        </w:tc>
        <w:tc>
          <w:tcPr>
            <w:tcW w:w="4233" w:type="dxa"/>
          </w:tcPr>
          <w:p w:rsidR="00C0186B" w:rsidRPr="00402AA6" w:rsidRDefault="00C0186B" w:rsidP="00402AA6">
            <w:pPr>
              <w:rPr>
                <w:rFonts w:ascii="Arial" w:hAnsi="Arial" w:cs="Arial"/>
                <w:sz w:val="24"/>
              </w:rPr>
            </w:pPr>
            <w:r w:rsidRPr="00402AA6">
              <w:rPr>
                <w:rFonts w:ascii="Arial" w:hAnsi="Arial" w:cs="Arial"/>
                <w:sz w:val="24"/>
              </w:rPr>
              <w:t>Hourly.  Average total per state is $600 for initial filing, plus fees for U-1 and U-2, plus hourly for amendments, &amp; negotiating and responding to comments.  Additional fees for Issuer/Agent Registration.</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How to Sell the Shares</w:t>
            </w:r>
          </w:p>
        </w:tc>
        <w:tc>
          <w:tcPr>
            <w:tcW w:w="4090" w:type="dxa"/>
          </w:tcPr>
          <w:p w:rsidR="00C0186B" w:rsidRPr="00402AA6" w:rsidRDefault="00C0186B" w:rsidP="00402AA6">
            <w:pPr>
              <w:rPr>
                <w:rFonts w:ascii="Arial" w:hAnsi="Arial" w:cs="Arial"/>
                <w:sz w:val="24"/>
              </w:rPr>
            </w:pPr>
            <w:r w:rsidRPr="00402AA6">
              <w:rPr>
                <w:rFonts w:ascii="Arial" w:hAnsi="Arial" w:cs="Arial"/>
                <w:sz w:val="24"/>
              </w:rPr>
              <w:t>Personal Contacts of Officers/Directors; No Internet or Public Contacts.</w:t>
            </w:r>
          </w:p>
        </w:tc>
        <w:tc>
          <w:tcPr>
            <w:tcW w:w="4090" w:type="dxa"/>
          </w:tcPr>
          <w:p w:rsidR="00C0186B" w:rsidRPr="00402AA6" w:rsidRDefault="00C0186B" w:rsidP="00402AA6">
            <w:pPr>
              <w:rPr>
                <w:rFonts w:ascii="Arial" w:hAnsi="Arial" w:cs="Arial"/>
                <w:sz w:val="24"/>
              </w:rPr>
            </w:pPr>
            <w:r w:rsidRPr="00402AA6">
              <w:rPr>
                <w:rFonts w:ascii="Arial" w:hAnsi="Arial" w:cs="Arial"/>
                <w:sz w:val="24"/>
              </w:rPr>
              <w:t>Personal Contacts of Officers/Directors; No Internet or Public Contacts</w:t>
            </w:r>
          </w:p>
        </w:tc>
        <w:tc>
          <w:tcPr>
            <w:tcW w:w="4233" w:type="dxa"/>
          </w:tcPr>
          <w:p w:rsidR="00C0186B" w:rsidRPr="00402AA6" w:rsidRDefault="00C0186B" w:rsidP="00402AA6">
            <w:pPr>
              <w:rPr>
                <w:rFonts w:ascii="Arial" w:hAnsi="Arial" w:cs="Arial"/>
                <w:sz w:val="24"/>
              </w:rPr>
            </w:pPr>
            <w:r w:rsidRPr="00402AA6">
              <w:rPr>
                <w:rFonts w:ascii="Arial" w:hAnsi="Arial" w:cs="Arial"/>
                <w:sz w:val="24"/>
              </w:rPr>
              <w:t xml:space="preserve">Officers of the Company market the Shares in any states in which shares are registered or filed; Website or Internet prospectus may be used (however, only in states where shares are registered); May sell on Ace.Net, IPO.Net, et. al. if shares are registered in state of local operator and if make notice filings or registrations in state of residence of any investors, local paper ads permitted only if shares registered in that state and if mailing only into that state; No national newspaper ads.  Cold calls permitted. </w:t>
            </w:r>
          </w:p>
        </w:tc>
      </w:tr>
      <w:tr w:rsidR="00C0186B" w:rsidRPr="00402AA6" w:rsidTr="00402AA6">
        <w:tc>
          <w:tcPr>
            <w:tcW w:w="2502" w:type="dxa"/>
            <w:shd w:val="clear" w:color="auto" w:fill="F2F2F2" w:themeFill="background1" w:themeFillShade="F2"/>
          </w:tcPr>
          <w:p w:rsidR="00C0186B" w:rsidRPr="00692184" w:rsidRDefault="002235F3" w:rsidP="00402AA6">
            <w:pPr>
              <w:rPr>
                <w:rFonts w:ascii="Arial" w:hAnsi="Arial" w:cs="Arial"/>
                <w:b/>
                <w:sz w:val="24"/>
              </w:rPr>
            </w:pPr>
            <w:r w:rsidRPr="00692184">
              <w:rPr>
                <w:rFonts w:ascii="Arial" w:hAnsi="Arial" w:cs="Arial"/>
                <w:b/>
                <w:sz w:val="24"/>
              </w:rPr>
              <w:lastRenderedPageBreak/>
              <w:t>Resale</w:t>
            </w:r>
            <w:r w:rsidR="00C0186B" w:rsidRPr="00692184">
              <w:rPr>
                <w:rFonts w:ascii="Arial" w:hAnsi="Arial" w:cs="Arial"/>
                <w:b/>
                <w:sz w:val="24"/>
              </w:rPr>
              <w:t xml:space="preserve"> Restrictions</w:t>
            </w:r>
          </w:p>
        </w:tc>
        <w:tc>
          <w:tcPr>
            <w:tcW w:w="8180" w:type="dxa"/>
            <w:gridSpan w:val="2"/>
          </w:tcPr>
          <w:p w:rsidR="00C0186B" w:rsidRPr="00402AA6" w:rsidRDefault="00C0186B" w:rsidP="00402AA6">
            <w:pPr>
              <w:rPr>
                <w:rFonts w:ascii="Arial" w:hAnsi="Arial" w:cs="Arial"/>
                <w:sz w:val="24"/>
              </w:rPr>
            </w:pPr>
            <w:r w:rsidRPr="00402AA6">
              <w:rPr>
                <w:rFonts w:ascii="Arial" w:hAnsi="Arial" w:cs="Arial"/>
                <w:sz w:val="24"/>
              </w:rPr>
              <w:t>1-year resale restriction under Rule 144A: shares cannot be resold during that time.</w:t>
            </w:r>
          </w:p>
        </w:tc>
        <w:tc>
          <w:tcPr>
            <w:tcW w:w="4233" w:type="dxa"/>
          </w:tcPr>
          <w:p w:rsidR="00C0186B" w:rsidRPr="00402AA6" w:rsidRDefault="00C0186B" w:rsidP="00402AA6">
            <w:pPr>
              <w:rPr>
                <w:rFonts w:ascii="Arial" w:hAnsi="Arial" w:cs="Arial"/>
                <w:sz w:val="24"/>
              </w:rPr>
            </w:pPr>
            <w:r w:rsidRPr="00402AA6">
              <w:rPr>
                <w:rFonts w:ascii="Arial" w:hAnsi="Arial" w:cs="Arial"/>
                <w:sz w:val="24"/>
              </w:rPr>
              <w:t xml:space="preserve">No </w:t>
            </w:r>
            <w:r w:rsidR="002235F3" w:rsidRPr="00402AA6">
              <w:rPr>
                <w:rFonts w:ascii="Arial" w:hAnsi="Arial" w:cs="Arial"/>
                <w:sz w:val="24"/>
              </w:rPr>
              <w:t>Resale</w:t>
            </w:r>
            <w:r w:rsidRPr="00402AA6">
              <w:rPr>
                <w:rFonts w:ascii="Arial" w:hAnsi="Arial" w:cs="Arial"/>
                <w:sz w:val="24"/>
              </w:rPr>
              <w:t xml:space="preserve"> restrictions; however the SEC has proposed a 1 year resale restriction similar to Rule 144.  </w:t>
            </w:r>
            <w:r w:rsidR="002235F3" w:rsidRPr="00402AA6">
              <w:rPr>
                <w:rFonts w:ascii="Arial" w:hAnsi="Arial" w:cs="Arial"/>
                <w:sz w:val="24"/>
              </w:rPr>
              <w:t>Resale</w:t>
            </w:r>
            <w:r w:rsidRPr="00402AA6">
              <w:rPr>
                <w:rFonts w:ascii="Arial" w:hAnsi="Arial" w:cs="Arial"/>
                <w:sz w:val="24"/>
              </w:rPr>
              <w:t xml:space="preserve"> may be restricted in states where MAIE exemptions used.</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 xml:space="preserve">Exit Strategies </w:t>
            </w:r>
            <w:r w:rsidRPr="00692184">
              <w:rPr>
                <w:rStyle w:val="FootnoteReference"/>
                <w:rFonts w:ascii="Arial" w:hAnsi="Arial" w:cs="Arial"/>
                <w:b/>
                <w:sz w:val="24"/>
              </w:rPr>
              <w:footnoteReference w:id="5"/>
            </w:r>
            <w:r w:rsidRPr="00692184">
              <w:rPr>
                <w:rFonts w:ascii="Arial" w:hAnsi="Arial" w:cs="Arial"/>
                <w:b/>
                <w:sz w:val="24"/>
              </w:rPr>
              <w:t xml:space="preserve"> for Secondary Trading by Investors who Buy Initial Shares</w:t>
            </w:r>
          </w:p>
        </w:tc>
        <w:tc>
          <w:tcPr>
            <w:tcW w:w="8180" w:type="dxa"/>
            <w:gridSpan w:val="2"/>
          </w:tcPr>
          <w:p w:rsidR="00C0186B" w:rsidRPr="00402AA6" w:rsidRDefault="00C0186B" w:rsidP="00402AA6">
            <w:pPr>
              <w:rPr>
                <w:rFonts w:ascii="Arial" w:hAnsi="Arial" w:cs="Arial"/>
                <w:sz w:val="24"/>
              </w:rPr>
            </w:pPr>
            <w:r w:rsidRPr="00402AA6">
              <w:rPr>
                <w:rFonts w:ascii="Arial" w:hAnsi="Arial" w:cs="Arial"/>
                <w:sz w:val="24"/>
              </w:rPr>
              <w:t>Subsequent merger with larger, listed company. Subsequent NASDAQ NM-Listed public offering.</w:t>
            </w:r>
          </w:p>
        </w:tc>
        <w:tc>
          <w:tcPr>
            <w:tcW w:w="4233" w:type="dxa"/>
          </w:tcPr>
          <w:p w:rsidR="00C0186B" w:rsidRPr="00402AA6" w:rsidRDefault="00C0186B" w:rsidP="00402AA6">
            <w:pPr>
              <w:rPr>
                <w:rFonts w:ascii="Arial" w:hAnsi="Arial" w:cs="Arial"/>
                <w:sz w:val="24"/>
                <w:vertAlign w:val="subscript"/>
              </w:rPr>
            </w:pPr>
            <w:r w:rsidRPr="00402AA6">
              <w:rPr>
                <w:rFonts w:ascii="Arial" w:hAnsi="Arial" w:cs="Arial"/>
                <w:sz w:val="24"/>
              </w:rPr>
              <w:t>List on OTC Bulletin Board or regional or Chicago Stock Exchange, Post on Ace.Net, IPO.Net, or internet stock trading vehicle; Post for sale on Issuer’s website, Subsequent merger with larger, listed company. Subsequent NASDAQ NM-Listed public offering.</w:t>
            </w:r>
            <w:r w:rsidRPr="00402AA6">
              <w:rPr>
                <w:rFonts w:ascii="Arial" w:hAnsi="Arial" w:cs="Arial"/>
                <w:sz w:val="24"/>
                <w:vertAlign w:val="superscript"/>
              </w:rPr>
              <w:t>5</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Other Restrictions:</w:t>
            </w:r>
          </w:p>
        </w:tc>
        <w:tc>
          <w:tcPr>
            <w:tcW w:w="4090" w:type="dxa"/>
          </w:tcPr>
          <w:p w:rsidR="00C0186B" w:rsidRPr="00402AA6" w:rsidRDefault="00C0186B" w:rsidP="00402AA6">
            <w:pPr>
              <w:rPr>
                <w:rFonts w:ascii="Arial" w:hAnsi="Arial" w:cs="Arial"/>
                <w:sz w:val="24"/>
              </w:rPr>
            </w:pPr>
            <w:r w:rsidRPr="00402AA6">
              <w:rPr>
                <w:rFonts w:ascii="Arial" w:hAnsi="Arial" w:cs="Arial"/>
                <w:sz w:val="24"/>
                <w:u w:val="single"/>
              </w:rPr>
              <w:t>Federal</w:t>
            </w:r>
            <w:r w:rsidRPr="00402AA6">
              <w:rPr>
                <w:rFonts w:ascii="Arial" w:hAnsi="Arial" w:cs="Arial"/>
                <w:sz w:val="24"/>
              </w:rPr>
              <w:t xml:space="preserve">:  No Disqualifications apply; </w:t>
            </w:r>
            <w:r w:rsidRPr="00402AA6">
              <w:rPr>
                <w:rFonts w:ascii="Arial" w:hAnsi="Arial" w:cs="Arial"/>
                <w:sz w:val="24"/>
                <w:u w:val="single"/>
              </w:rPr>
              <w:t>States</w:t>
            </w:r>
            <w:r w:rsidRPr="00402AA6">
              <w:rPr>
                <w:rFonts w:ascii="Arial" w:hAnsi="Arial" w:cs="Arial"/>
                <w:sz w:val="24"/>
              </w:rPr>
              <w:t>:  Some state laws contain disqualification provisions that prevent certain principals from being involved in an offering.</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 Disqualifications apply because of federal pre-emptions under the National Securities Markets Improvement Act of 1996.</w:t>
            </w:r>
          </w:p>
        </w:tc>
        <w:tc>
          <w:tcPr>
            <w:tcW w:w="4233" w:type="dxa"/>
          </w:tcPr>
          <w:p w:rsidR="00C0186B" w:rsidRPr="00402AA6" w:rsidRDefault="00C0186B" w:rsidP="00402AA6">
            <w:pPr>
              <w:rPr>
                <w:rFonts w:ascii="Arial" w:hAnsi="Arial" w:cs="Arial"/>
                <w:sz w:val="24"/>
              </w:rPr>
            </w:pPr>
            <w:r w:rsidRPr="00402AA6">
              <w:rPr>
                <w:rFonts w:ascii="Arial" w:hAnsi="Arial" w:cs="Arial"/>
                <w:sz w:val="24"/>
              </w:rPr>
              <w:t>Disqualified from using exemption if issuer is a “blind pool”, or a developmental stage company with no specific business plan or purpose, or if plan or purpose is to merge with or acquire an unidentified company.</w:t>
            </w:r>
          </w:p>
          <w:p w:rsidR="00C0186B" w:rsidRPr="00402AA6" w:rsidRDefault="00C0186B" w:rsidP="00402AA6">
            <w:pPr>
              <w:rPr>
                <w:rFonts w:ascii="Arial" w:hAnsi="Arial" w:cs="Arial"/>
                <w:sz w:val="16"/>
                <w:szCs w:val="16"/>
              </w:rPr>
            </w:pPr>
          </w:p>
          <w:p w:rsidR="00C0186B" w:rsidRPr="00402AA6" w:rsidRDefault="00C0186B" w:rsidP="00402AA6">
            <w:pPr>
              <w:rPr>
                <w:rFonts w:ascii="Arial" w:hAnsi="Arial" w:cs="Arial"/>
                <w:sz w:val="24"/>
              </w:rPr>
            </w:pPr>
            <w:r w:rsidRPr="00402AA6">
              <w:rPr>
                <w:rFonts w:ascii="Arial" w:hAnsi="Arial" w:cs="Arial"/>
                <w:sz w:val="24"/>
              </w:rPr>
              <w:t>OK for seed stage or developmental stage issuer with business plan.</w:t>
            </w:r>
          </w:p>
          <w:p w:rsidR="00C0186B" w:rsidRPr="00402AA6" w:rsidRDefault="00C0186B" w:rsidP="00402AA6">
            <w:pPr>
              <w:rPr>
                <w:rFonts w:ascii="Arial" w:hAnsi="Arial" w:cs="Arial"/>
                <w:sz w:val="16"/>
                <w:szCs w:val="16"/>
              </w:rPr>
            </w:pPr>
          </w:p>
          <w:p w:rsidR="00C0186B" w:rsidRPr="00402AA6" w:rsidRDefault="00C0186B" w:rsidP="00402AA6">
            <w:pPr>
              <w:rPr>
                <w:rFonts w:ascii="Arial" w:hAnsi="Arial" w:cs="Arial"/>
                <w:sz w:val="24"/>
              </w:rPr>
            </w:pPr>
            <w:r w:rsidRPr="00402AA6">
              <w:rPr>
                <w:rFonts w:ascii="Arial" w:hAnsi="Arial" w:cs="Arial"/>
                <w:sz w:val="24"/>
              </w:rPr>
              <w:t>Use of Form U-7 triggers same disqualifiers as under Reg A.</w:t>
            </w:r>
          </w:p>
          <w:p w:rsidR="00C0186B" w:rsidRPr="00402AA6" w:rsidRDefault="00C0186B" w:rsidP="00402AA6">
            <w:pPr>
              <w:rPr>
                <w:rFonts w:ascii="Arial" w:hAnsi="Arial" w:cs="Arial"/>
                <w:sz w:val="16"/>
                <w:szCs w:val="16"/>
              </w:rPr>
            </w:pPr>
          </w:p>
          <w:p w:rsidR="00C0186B" w:rsidRPr="00402AA6" w:rsidRDefault="00C0186B" w:rsidP="00402AA6">
            <w:pPr>
              <w:rPr>
                <w:rFonts w:ascii="Arial" w:hAnsi="Arial" w:cs="Arial"/>
                <w:sz w:val="24"/>
              </w:rPr>
            </w:pPr>
            <w:r w:rsidRPr="00402AA6">
              <w:rPr>
                <w:rFonts w:ascii="Arial" w:hAnsi="Arial" w:cs="Arial"/>
                <w:sz w:val="24"/>
              </w:rPr>
              <w:t>Must register in at least one merit review state to qualify for federal 504 exemption.</w:t>
            </w:r>
          </w:p>
        </w:tc>
      </w:tr>
      <w:tr w:rsidR="00C0186B" w:rsidRPr="00402AA6" w:rsidTr="00402AA6">
        <w:tc>
          <w:tcPr>
            <w:tcW w:w="2502" w:type="dxa"/>
            <w:shd w:val="clear" w:color="auto" w:fill="F2F2F2" w:themeFill="background1" w:themeFillShade="F2"/>
          </w:tcPr>
          <w:p w:rsidR="00C0186B" w:rsidRPr="00692184" w:rsidRDefault="00C0186B" w:rsidP="00402AA6">
            <w:pPr>
              <w:keepNext/>
              <w:rPr>
                <w:rFonts w:ascii="Arial" w:hAnsi="Arial" w:cs="Arial"/>
                <w:b/>
                <w:sz w:val="24"/>
              </w:rPr>
            </w:pPr>
            <w:r w:rsidRPr="00692184">
              <w:rPr>
                <w:rFonts w:ascii="Arial" w:hAnsi="Arial" w:cs="Arial"/>
                <w:b/>
                <w:sz w:val="24"/>
              </w:rPr>
              <w:lastRenderedPageBreak/>
              <w:t>Estimated Time To Complete Company Review and Document Preparation.</w:t>
            </w:r>
          </w:p>
        </w:tc>
        <w:tc>
          <w:tcPr>
            <w:tcW w:w="4090" w:type="dxa"/>
          </w:tcPr>
          <w:p w:rsidR="00C0186B" w:rsidRPr="00402AA6" w:rsidRDefault="00C0186B" w:rsidP="00402AA6">
            <w:pPr>
              <w:keepNext/>
              <w:rPr>
                <w:rFonts w:ascii="Arial" w:hAnsi="Arial" w:cs="Arial"/>
                <w:sz w:val="24"/>
              </w:rPr>
            </w:pPr>
            <w:r w:rsidRPr="00402AA6">
              <w:rPr>
                <w:rFonts w:ascii="Arial" w:hAnsi="Arial" w:cs="Arial"/>
                <w:sz w:val="24"/>
              </w:rPr>
              <w:t>20+ days due diligence, plus 10 additional days offering document preparation time.  Allow 4 to 6 weeks, if no unusual issues arise.  More time if finders or brokers involved, or any unregistered securities sold prior to this offering.</w:t>
            </w:r>
          </w:p>
        </w:tc>
        <w:tc>
          <w:tcPr>
            <w:tcW w:w="4090" w:type="dxa"/>
          </w:tcPr>
          <w:p w:rsidR="00C0186B" w:rsidRPr="00402AA6" w:rsidRDefault="00C0186B" w:rsidP="00402AA6">
            <w:pPr>
              <w:keepNext/>
              <w:rPr>
                <w:rFonts w:ascii="Arial" w:hAnsi="Arial" w:cs="Arial"/>
                <w:sz w:val="24"/>
                <w:lang w:val="fr-FR"/>
              </w:rPr>
            </w:pPr>
            <w:r w:rsidRPr="00402AA6">
              <w:rPr>
                <w:rFonts w:ascii="Arial" w:hAnsi="Arial" w:cs="Arial"/>
                <w:sz w:val="24"/>
                <w:lang w:val="fr-FR"/>
              </w:rPr>
              <w:t xml:space="preserve">20-30 </w:t>
            </w:r>
            <w:r w:rsidR="002235F3" w:rsidRPr="00402AA6">
              <w:rPr>
                <w:rFonts w:ascii="Arial" w:hAnsi="Arial" w:cs="Arial"/>
                <w:sz w:val="24"/>
                <w:lang w:val="fr-FR"/>
              </w:rPr>
              <w:t>days'</w:t>
            </w:r>
            <w:r w:rsidRPr="00402AA6">
              <w:rPr>
                <w:rFonts w:ascii="Arial" w:hAnsi="Arial" w:cs="Arial"/>
                <w:sz w:val="24"/>
                <w:lang w:val="fr-FR"/>
              </w:rPr>
              <w:t xml:space="preserve"> due diligence, plus</w:t>
            </w:r>
          </w:p>
          <w:p w:rsidR="00C0186B" w:rsidRPr="00402AA6" w:rsidRDefault="00C0186B" w:rsidP="00402AA6">
            <w:pPr>
              <w:keepNext/>
              <w:rPr>
                <w:rFonts w:ascii="Arial" w:hAnsi="Arial" w:cs="Arial"/>
                <w:sz w:val="24"/>
              </w:rPr>
            </w:pPr>
            <w:r w:rsidRPr="00402AA6">
              <w:rPr>
                <w:rFonts w:ascii="Arial" w:hAnsi="Arial" w:cs="Arial"/>
                <w:sz w:val="24"/>
              </w:rPr>
              <w:t>30 additional days offering document preparation.  Allow 6 to 8 weeks, if no unusual issues arise.  More time if finders or brokers involved, or if any previously unregistered securities or any legal clean up or due diligence problems.</w:t>
            </w:r>
          </w:p>
        </w:tc>
        <w:tc>
          <w:tcPr>
            <w:tcW w:w="4233" w:type="dxa"/>
          </w:tcPr>
          <w:p w:rsidR="00C0186B" w:rsidRPr="00402AA6" w:rsidRDefault="002235F3" w:rsidP="00402AA6">
            <w:pPr>
              <w:keepNext/>
              <w:rPr>
                <w:rFonts w:ascii="Arial" w:hAnsi="Arial" w:cs="Arial"/>
                <w:sz w:val="24"/>
                <w:lang w:val="fr-FR"/>
              </w:rPr>
            </w:pPr>
            <w:r w:rsidRPr="00402AA6">
              <w:rPr>
                <w:rFonts w:ascii="Arial" w:hAnsi="Arial" w:cs="Arial"/>
                <w:sz w:val="24"/>
                <w:lang w:val="fr-FR"/>
              </w:rPr>
              <w:t>20-30 days' due diligence, plus</w:t>
            </w:r>
          </w:p>
          <w:p w:rsidR="00C0186B" w:rsidRPr="00402AA6" w:rsidRDefault="00C0186B" w:rsidP="00200447">
            <w:pPr>
              <w:keepNext/>
              <w:rPr>
                <w:rFonts w:ascii="Arial" w:hAnsi="Arial" w:cs="Arial"/>
                <w:sz w:val="24"/>
              </w:rPr>
            </w:pPr>
            <w:r w:rsidRPr="00402AA6">
              <w:rPr>
                <w:rFonts w:ascii="Arial" w:hAnsi="Arial" w:cs="Arial"/>
                <w:sz w:val="24"/>
              </w:rPr>
              <w:t>30 additional days offering document preparation.</w:t>
            </w:r>
            <w:r w:rsidR="00200447">
              <w:rPr>
                <w:rFonts w:ascii="Arial" w:hAnsi="Arial" w:cs="Arial"/>
                <w:sz w:val="24"/>
              </w:rPr>
              <w:t xml:space="preserve"> + </w:t>
            </w:r>
            <w:r w:rsidRPr="00402AA6">
              <w:rPr>
                <w:rFonts w:ascii="Arial" w:hAnsi="Arial" w:cs="Arial"/>
                <w:sz w:val="24"/>
              </w:rPr>
              <w:t>20-60 days additional review and comment time for tough states. State review time can range from 0 to 60 days; states take from 6 weeks to 6 months to clear.  Allow 6-8 weeks to sell in NY if no unusual issues a</w:t>
            </w:r>
            <w:r w:rsidR="00662B8B" w:rsidRPr="00402AA6">
              <w:rPr>
                <w:rFonts w:ascii="Arial" w:hAnsi="Arial" w:cs="Arial"/>
                <w:sz w:val="24"/>
              </w:rPr>
              <w:t>rise, other states 2-</w:t>
            </w:r>
            <w:r w:rsidRPr="00402AA6">
              <w:rPr>
                <w:rFonts w:ascii="Arial" w:hAnsi="Arial" w:cs="Arial"/>
                <w:sz w:val="24"/>
              </w:rPr>
              <w:t>3 months</w:t>
            </w:r>
            <w:r w:rsidR="00662B8B" w:rsidRPr="00402AA6">
              <w:rPr>
                <w:rFonts w:ascii="Arial" w:hAnsi="Arial" w:cs="Arial"/>
                <w:sz w:val="24"/>
              </w:rPr>
              <w:t>.</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When Can Offers and Sales Be Made?</w:t>
            </w:r>
          </w:p>
        </w:tc>
        <w:tc>
          <w:tcPr>
            <w:tcW w:w="4090" w:type="dxa"/>
          </w:tcPr>
          <w:p w:rsidR="00C0186B" w:rsidRPr="00402AA6" w:rsidRDefault="00C0186B" w:rsidP="00402AA6">
            <w:pPr>
              <w:pStyle w:val="Heading2"/>
              <w:rPr>
                <w:rFonts w:ascii="Arial" w:hAnsi="Arial" w:cs="Arial"/>
              </w:rPr>
            </w:pPr>
            <w:r w:rsidRPr="00402AA6">
              <w:rPr>
                <w:rFonts w:ascii="Arial" w:hAnsi="Arial" w:cs="Arial"/>
                <w:u w:val="single"/>
              </w:rPr>
              <w:t>Federal</w:t>
            </w:r>
            <w:r w:rsidRPr="00402AA6">
              <w:rPr>
                <w:rFonts w:ascii="Arial" w:hAnsi="Arial" w:cs="Arial"/>
              </w:rPr>
              <w:t>: Anytime.</w:t>
            </w:r>
          </w:p>
          <w:p w:rsidR="00C0186B" w:rsidRPr="00402AA6" w:rsidRDefault="00C0186B" w:rsidP="00402AA6">
            <w:pPr>
              <w:pStyle w:val="Heading2"/>
              <w:rPr>
                <w:rFonts w:ascii="Arial" w:hAnsi="Arial" w:cs="Arial"/>
              </w:rPr>
            </w:pPr>
            <w:r w:rsidRPr="00402AA6">
              <w:rPr>
                <w:rFonts w:ascii="Arial" w:hAnsi="Arial" w:cs="Arial"/>
                <w:u w:val="single"/>
              </w:rPr>
              <w:t>States</w:t>
            </w:r>
            <w:r w:rsidRPr="00402AA6">
              <w:rPr>
                <w:rFonts w:ascii="Arial" w:hAnsi="Arial" w:cs="Arial"/>
              </w:rPr>
              <w:t>: Some states have pre-offer filing requirements; but generally offers and sales can be made in most states before filings. Check blue sky law of state of residence of investor before mailing offering document.</w:t>
            </w:r>
          </w:p>
        </w:tc>
        <w:tc>
          <w:tcPr>
            <w:tcW w:w="4090" w:type="dxa"/>
          </w:tcPr>
          <w:p w:rsidR="00C0186B" w:rsidRPr="00402AA6" w:rsidRDefault="00C0186B" w:rsidP="00402AA6">
            <w:pPr>
              <w:pStyle w:val="Heading2"/>
              <w:rPr>
                <w:rFonts w:ascii="Arial" w:hAnsi="Arial" w:cs="Arial"/>
              </w:rPr>
            </w:pPr>
            <w:r w:rsidRPr="00402AA6">
              <w:rPr>
                <w:rFonts w:ascii="Arial" w:hAnsi="Arial" w:cs="Arial"/>
                <w:u w:val="single"/>
              </w:rPr>
              <w:t>Federal</w:t>
            </w:r>
            <w:r w:rsidRPr="00402AA6">
              <w:rPr>
                <w:rFonts w:ascii="Arial" w:hAnsi="Arial" w:cs="Arial"/>
              </w:rPr>
              <w:t>: Anytime.</w:t>
            </w:r>
          </w:p>
          <w:p w:rsidR="00C0186B" w:rsidRPr="00402AA6" w:rsidRDefault="00C0186B" w:rsidP="00402AA6">
            <w:pPr>
              <w:pStyle w:val="Heading2"/>
              <w:rPr>
                <w:rFonts w:ascii="Arial" w:hAnsi="Arial" w:cs="Arial"/>
              </w:rPr>
            </w:pPr>
            <w:r w:rsidRPr="00402AA6">
              <w:rPr>
                <w:rFonts w:ascii="Arial" w:hAnsi="Arial" w:cs="Arial"/>
                <w:u w:val="single"/>
              </w:rPr>
              <w:t>States</w:t>
            </w:r>
            <w:r w:rsidRPr="00402AA6">
              <w:rPr>
                <w:rFonts w:ascii="Arial" w:hAnsi="Arial" w:cs="Arial"/>
              </w:rPr>
              <w:t>: Offers and Sales permitted in 49 states after distribution of offering</w:t>
            </w:r>
            <w:r w:rsidR="00032780">
              <w:rPr>
                <w:rFonts w:ascii="Arial" w:hAnsi="Arial" w:cs="Arial"/>
              </w:rPr>
              <w:t xml:space="preserve"> document and prior to filings.</w:t>
            </w:r>
            <w:r w:rsidRPr="00402AA6">
              <w:rPr>
                <w:rFonts w:ascii="Arial" w:hAnsi="Arial" w:cs="Arial"/>
              </w:rPr>
              <w:t xml:space="preserve"> </w:t>
            </w:r>
            <w:r w:rsidR="00FB6F68" w:rsidRPr="00402AA6">
              <w:rPr>
                <w:rFonts w:ascii="Arial" w:hAnsi="Arial" w:cs="Arial"/>
              </w:rPr>
              <w:t>However, filings required in all states, within 15 days after 1st sale.</w:t>
            </w:r>
            <w:r w:rsidR="00032780">
              <w:rPr>
                <w:rFonts w:ascii="Arial" w:hAnsi="Arial" w:cs="Arial"/>
              </w:rPr>
              <w:t xml:space="preserve"> Cannot be late in several states.</w:t>
            </w:r>
          </w:p>
        </w:tc>
        <w:tc>
          <w:tcPr>
            <w:tcW w:w="4233" w:type="dxa"/>
          </w:tcPr>
          <w:p w:rsidR="00C0186B" w:rsidRPr="00402AA6" w:rsidRDefault="00C0186B" w:rsidP="00402AA6">
            <w:pPr>
              <w:rPr>
                <w:rFonts w:ascii="Arial" w:hAnsi="Arial" w:cs="Arial"/>
                <w:sz w:val="24"/>
              </w:rPr>
            </w:pPr>
            <w:r w:rsidRPr="00402AA6">
              <w:rPr>
                <w:rFonts w:ascii="Arial" w:hAnsi="Arial" w:cs="Arial"/>
                <w:sz w:val="24"/>
                <w:u w:val="single"/>
              </w:rPr>
              <w:t>Federal</w:t>
            </w:r>
            <w:r w:rsidRPr="00402AA6">
              <w:rPr>
                <w:rFonts w:ascii="Arial" w:hAnsi="Arial" w:cs="Arial"/>
                <w:sz w:val="24"/>
              </w:rPr>
              <w:t>: Offers a</w:t>
            </w:r>
            <w:r w:rsidR="00662B8B" w:rsidRPr="00402AA6">
              <w:rPr>
                <w:rFonts w:ascii="Arial" w:hAnsi="Arial" w:cs="Arial"/>
                <w:sz w:val="24"/>
              </w:rPr>
              <w:t xml:space="preserve">nd sales permitted at any time </w:t>
            </w:r>
            <w:r w:rsidRPr="00402AA6">
              <w:rPr>
                <w:rFonts w:ascii="Arial" w:hAnsi="Arial" w:cs="Arial"/>
                <w:sz w:val="24"/>
              </w:rPr>
              <w:t>after distribution of offering book.</w:t>
            </w:r>
          </w:p>
          <w:p w:rsidR="00C0186B" w:rsidRPr="00402AA6" w:rsidRDefault="00C0186B" w:rsidP="00402AA6">
            <w:pPr>
              <w:rPr>
                <w:rFonts w:ascii="Arial" w:hAnsi="Arial" w:cs="Arial"/>
                <w:sz w:val="24"/>
              </w:rPr>
            </w:pPr>
            <w:r w:rsidRPr="00402AA6">
              <w:rPr>
                <w:rFonts w:ascii="Arial" w:hAnsi="Arial" w:cs="Arial"/>
                <w:sz w:val="24"/>
                <w:u w:val="single"/>
              </w:rPr>
              <w:t>States</w:t>
            </w:r>
            <w:r w:rsidRPr="00402AA6">
              <w:rPr>
                <w:rFonts w:ascii="Arial" w:hAnsi="Arial" w:cs="Arial"/>
                <w:sz w:val="24"/>
              </w:rPr>
              <w:t>: Offers and sales permitted in “disclosure states” or “exempt” states at any time after distribution of offering book.</w:t>
            </w:r>
          </w:p>
          <w:p w:rsidR="00C0186B" w:rsidRPr="00402AA6" w:rsidRDefault="00C0186B" w:rsidP="00402AA6">
            <w:pPr>
              <w:rPr>
                <w:rFonts w:ascii="Arial" w:hAnsi="Arial" w:cs="Arial"/>
                <w:sz w:val="24"/>
              </w:rPr>
            </w:pPr>
            <w:r w:rsidRPr="00402AA6">
              <w:rPr>
                <w:rFonts w:ascii="Arial" w:hAnsi="Arial" w:cs="Arial"/>
                <w:sz w:val="24"/>
              </w:rPr>
              <w:t xml:space="preserve">Offers and sales </w:t>
            </w:r>
            <w:r w:rsidRPr="00402AA6">
              <w:rPr>
                <w:rFonts w:ascii="Arial" w:hAnsi="Arial" w:cs="Arial"/>
                <w:sz w:val="24"/>
                <w:u w:val="single"/>
              </w:rPr>
              <w:t>not</w:t>
            </w:r>
            <w:r w:rsidRPr="00402AA6">
              <w:rPr>
                <w:rFonts w:ascii="Arial" w:hAnsi="Arial" w:cs="Arial"/>
                <w:sz w:val="24"/>
              </w:rPr>
              <w:t xml:space="preserve"> permitted in tough states or Registration States until registration is pending, or in some cases, complete.</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Type of Offering to be Used For:</w:t>
            </w:r>
          </w:p>
        </w:tc>
        <w:tc>
          <w:tcPr>
            <w:tcW w:w="4090" w:type="dxa"/>
          </w:tcPr>
          <w:p w:rsidR="00C0186B" w:rsidRPr="00402AA6" w:rsidRDefault="00C0186B" w:rsidP="00402AA6">
            <w:pPr>
              <w:rPr>
                <w:rFonts w:ascii="Arial" w:hAnsi="Arial" w:cs="Arial"/>
                <w:sz w:val="24"/>
              </w:rPr>
            </w:pPr>
            <w:r w:rsidRPr="00402AA6">
              <w:rPr>
                <w:rFonts w:ascii="Arial" w:hAnsi="Arial" w:cs="Arial"/>
                <w:sz w:val="24"/>
              </w:rPr>
              <w:t>Issuer-Sold: Very Small Private Placement with VC or angel investors, or family and very close friends who would never sue you if the offering lost money.</w:t>
            </w:r>
          </w:p>
        </w:tc>
        <w:tc>
          <w:tcPr>
            <w:tcW w:w="4090" w:type="dxa"/>
          </w:tcPr>
          <w:p w:rsidR="00C0186B" w:rsidRPr="00402AA6" w:rsidRDefault="00C0186B" w:rsidP="00402AA6">
            <w:pPr>
              <w:pStyle w:val="BodyText"/>
              <w:rPr>
                <w:rFonts w:ascii="Arial" w:hAnsi="Arial" w:cs="Arial"/>
              </w:rPr>
            </w:pPr>
            <w:r w:rsidRPr="00402AA6">
              <w:rPr>
                <w:rFonts w:ascii="Arial" w:hAnsi="Arial" w:cs="Arial"/>
              </w:rPr>
              <w:t>Issuer-Sold: Unlimited number of wealthy investors + 35 average/small investors, all with pre-existing relationship with Issuer; or,</w:t>
            </w:r>
          </w:p>
          <w:p w:rsidR="00C0186B" w:rsidRPr="00402AA6" w:rsidRDefault="00C0186B" w:rsidP="00402AA6">
            <w:pPr>
              <w:rPr>
                <w:rFonts w:ascii="Arial" w:hAnsi="Arial" w:cs="Arial"/>
                <w:sz w:val="24"/>
              </w:rPr>
            </w:pPr>
            <w:r w:rsidRPr="00402AA6">
              <w:rPr>
                <w:rFonts w:ascii="Arial" w:hAnsi="Arial" w:cs="Arial"/>
                <w:sz w:val="24"/>
              </w:rPr>
              <w:t xml:space="preserve">Broker-Sold: Unlimited number of wealthy investors + 35 average/small investors, all with pre-existing relationship with Broker.  </w:t>
            </w:r>
          </w:p>
          <w:p w:rsidR="00C0186B" w:rsidRPr="00402AA6" w:rsidRDefault="00C0186B" w:rsidP="00402AA6">
            <w:pPr>
              <w:rPr>
                <w:rFonts w:ascii="Arial" w:hAnsi="Arial" w:cs="Arial"/>
                <w:sz w:val="24"/>
              </w:rPr>
            </w:pPr>
            <w:r w:rsidRPr="00402AA6">
              <w:rPr>
                <w:rFonts w:ascii="Arial" w:hAnsi="Arial" w:cs="Arial"/>
                <w:sz w:val="24"/>
              </w:rPr>
              <w:t>Both: All states.</w:t>
            </w:r>
          </w:p>
        </w:tc>
        <w:tc>
          <w:tcPr>
            <w:tcW w:w="4233" w:type="dxa"/>
          </w:tcPr>
          <w:p w:rsidR="00C0186B" w:rsidRPr="00402AA6" w:rsidRDefault="00C0186B" w:rsidP="00402AA6">
            <w:pPr>
              <w:rPr>
                <w:rFonts w:ascii="Arial" w:hAnsi="Arial" w:cs="Arial"/>
                <w:sz w:val="24"/>
              </w:rPr>
            </w:pPr>
            <w:r w:rsidRPr="00402AA6">
              <w:rPr>
                <w:rFonts w:ascii="Arial" w:hAnsi="Arial" w:cs="Arial"/>
                <w:sz w:val="24"/>
              </w:rPr>
              <w:t>Issuer-Sold DPO only (broker-sold is not usually cost-effective for a 504); Limited to the few states which will exempt Rule 504 Offerings NY, CA (only with super- suitability), IL, TN (15 only, need pre-existing relationship), AZ ($100,000 to 10 only, need pre-existing relationship); Small Offering Amount; Medium Number of Investors from Customers, Subscribers, Vendors, Internet Contacts, Newspaper or TV Ads.  Works well for Issuers with affinity groups.</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Disclosure Required if Broker Or Finder To Sell Or Take a % of Offering or of Company Stock</w:t>
            </w:r>
          </w:p>
        </w:tc>
        <w:tc>
          <w:tcPr>
            <w:tcW w:w="4090" w:type="dxa"/>
          </w:tcPr>
          <w:p w:rsidR="00C0186B" w:rsidRPr="00402AA6" w:rsidRDefault="00C0186B" w:rsidP="00402AA6">
            <w:pPr>
              <w:rPr>
                <w:rFonts w:ascii="Arial" w:hAnsi="Arial" w:cs="Arial"/>
                <w:sz w:val="24"/>
              </w:rPr>
            </w:pPr>
            <w:r w:rsidRPr="00402AA6">
              <w:rPr>
                <w:rFonts w:ascii="Arial" w:hAnsi="Arial" w:cs="Arial"/>
                <w:sz w:val="24"/>
              </w:rPr>
              <w:t>Must Disclose All Broker and Finder Compensation of every type (including shares) in Offering Memo</w:t>
            </w:r>
          </w:p>
        </w:tc>
        <w:tc>
          <w:tcPr>
            <w:tcW w:w="4090" w:type="dxa"/>
          </w:tcPr>
          <w:p w:rsidR="00C0186B" w:rsidRPr="00402AA6" w:rsidRDefault="00C0186B" w:rsidP="00402AA6">
            <w:pPr>
              <w:rPr>
                <w:rFonts w:ascii="Arial" w:hAnsi="Arial" w:cs="Arial"/>
                <w:sz w:val="24"/>
              </w:rPr>
            </w:pPr>
            <w:r w:rsidRPr="00402AA6">
              <w:rPr>
                <w:rFonts w:ascii="Arial" w:hAnsi="Arial" w:cs="Arial"/>
                <w:sz w:val="24"/>
              </w:rPr>
              <w:t>Must Disclose All Broker and Finder Compensation of every type (including shares) in Offering Memo and on SEC Form D.  Finders run risk of SEC exposure to unregistered activity.</w:t>
            </w:r>
          </w:p>
        </w:tc>
        <w:tc>
          <w:tcPr>
            <w:tcW w:w="4233" w:type="dxa"/>
          </w:tcPr>
          <w:p w:rsidR="00C0186B" w:rsidRPr="00402AA6" w:rsidRDefault="00C0186B" w:rsidP="00402AA6">
            <w:pPr>
              <w:rPr>
                <w:rFonts w:ascii="Arial" w:hAnsi="Arial" w:cs="Arial"/>
                <w:sz w:val="24"/>
              </w:rPr>
            </w:pPr>
            <w:r w:rsidRPr="00402AA6">
              <w:rPr>
                <w:rFonts w:ascii="Arial" w:hAnsi="Arial" w:cs="Arial"/>
                <w:sz w:val="24"/>
              </w:rPr>
              <w:t>Must Disclose All Broker and Finder Compensation of every type (including shares) in Offering Memo and on SEC Form D. Finders run risk of SEC exposure to unregistered activity.</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p>
        </w:tc>
        <w:tc>
          <w:tcPr>
            <w:tcW w:w="8180" w:type="dxa"/>
            <w:gridSpan w:val="2"/>
          </w:tcPr>
          <w:p w:rsidR="00C0186B" w:rsidRPr="00402AA6" w:rsidRDefault="00C0186B" w:rsidP="00402AA6">
            <w:pPr>
              <w:rPr>
                <w:rFonts w:ascii="Arial" w:hAnsi="Arial" w:cs="Arial"/>
                <w:sz w:val="24"/>
              </w:rPr>
            </w:pPr>
          </w:p>
        </w:tc>
        <w:tc>
          <w:tcPr>
            <w:tcW w:w="4233" w:type="dxa"/>
          </w:tcPr>
          <w:p w:rsidR="00C0186B" w:rsidRPr="00402AA6" w:rsidRDefault="00C0186B" w:rsidP="00402AA6">
            <w:pPr>
              <w:rPr>
                <w:rFonts w:ascii="Arial" w:hAnsi="Arial" w:cs="Arial"/>
                <w:sz w:val="24"/>
              </w:rPr>
            </w:pPr>
          </w:p>
        </w:tc>
      </w:tr>
      <w:tr w:rsidR="00CC4882" w:rsidRPr="00402AA6" w:rsidTr="00402AA6">
        <w:tc>
          <w:tcPr>
            <w:tcW w:w="2502" w:type="dxa"/>
            <w:shd w:val="clear" w:color="auto" w:fill="F2F2F2" w:themeFill="background1" w:themeFillShade="F2"/>
          </w:tcPr>
          <w:p w:rsidR="00CC4882" w:rsidRPr="00692184" w:rsidRDefault="00CC4882" w:rsidP="00402AA6">
            <w:pPr>
              <w:rPr>
                <w:rFonts w:ascii="Arial" w:hAnsi="Arial" w:cs="Arial"/>
                <w:b/>
                <w:sz w:val="24"/>
              </w:rPr>
            </w:pPr>
            <w:r w:rsidRPr="00692184">
              <w:rPr>
                <w:rFonts w:ascii="Arial" w:hAnsi="Arial" w:cs="Arial"/>
                <w:b/>
                <w:sz w:val="24"/>
              </w:rPr>
              <w:lastRenderedPageBreak/>
              <w:t>If Issuer To Sell Shares</w:t>
            </w:r>
            <w:r>
              <w:rPr>
                <w:rFonts w:ascii="Arial" w:hAnsi="Arial" w:cs="Arial"/>
                <w:b/>
                <w:sz w:val="24"/>
              </w:rPr>
              <w:t xml:space="preserve"> Directly: How</w:t>
            </w:r>
          </w:p>
        </w:tc>
        <w:tc>
          <w:tcPr>
            <w:tcW w:w="4090" w:type="dxa"/>
          </w:tcPr>
          <w:p w:rsidR="00CC4882" w:rsidRPr="00402AA6" w:rsidRDefault="00CC4882" w:rsidP="00402AA6">
            <w:pPr>
              <w:rPr>
                <w:rFonts w:ascii="Arial" w:hAnsi="Arial" w:cs="Arial"/>
                <w:sz w:val="24"/>
              </w:rPr>
            </w:pPr>
            <w:r w:rsidRPr="00402AA6">
              <w:rPr>
                <w:rFonts w:ascii="Arial" w:hAnsi="Arial" w:cs="Arial"/>
                <w:sz w:val="24"/>
              </w:rPr>
              <w:t>No Internet or Public Contacts. Generally Issuer-Dealer Exemptions in State Law.</w:t>
            </w:r>
          </w:p>
        </w:tc>
        <w:tc>
          <w:tcPr>
            <w:tcW w:w="4090" w:type="dxa"/>
          </w:tcPr>
          <w:p w:rsidR="00CC4882" w:rsidRPr="00402AA6" w:rsidRDefault="00CC4882" w:rsidP="00402AA6">
            <w:pPr>
              <w:rPr>
                <w:rFonts w:ascii="Arial" w:hAnsi="Arial" w:cs="Arial"/>
                <w:sz w:val="24"/>
              </w:rPr>
            </w:pPr>
            <w:r w:rsidRPr="00402AA6">
              <w:rPr>
                <w:rFonts w:ascii="Arial" w:hAnsi="Arial" w:cs="Arial"/>
                <w:sz w:val="24"/>
              </w:rPr>
              <w:t>Public Contacts Permitted only</w:t>
            </w:r>
            <w:r>
              <w:rPr>
                <w:rFonts w:ascii="Arial" w:hAnsi="Arial" w:cs="Arial"/>
                <w:sz w:val="24"/>
              </w:rPr>
              <w:t xml:space="preserve"> if entire deal is sold only to accredited investors. Otherwise, no public contacts permitted.</w:t>
            </w:r>
          </w:p>
        </w:tc>
        <w:tc>
          <w:tcPr>
            <w:tcW w:w="4233" w:type="dxa"/>
          </w:tcPr>
          <w:p w:rsidR="00CC4882" w:rsidRPr="00402AA6" w:rsidRDefault="00CC4882" w:rsidP="00CC4882">
            <w:pPr>
              <w:rPr>
                <w:rFonts w:ascii="Arial" w:hAnsi="Arial" w:cs="Arial"/>
                <w:sz w:val="24"/>
              </w:rPr>
            </w:pPr>
            <w:r w:rsidRPr="00402AA6">
              <w:rPr>
                <w:rFonts w:ascii="Arial" w:hAnsi="Arial" w:cs="Arial"/>
                <w:sz w:val="24"/>
              </w:rPr>
              <w:t>Public Contacts Permitted only in States where offering is filed.</w:t>
            </w:r>
          </w:p>
          <w:p w:rsidR="00CC4882" w:rsidRPr="00402AA6" w:rsidRDefault="00CC4882" w:rsidP="00CC4882">
            <w:pPr>
              <w:rPr>
                <w:rFonts w:ascii="Arial" w:hAnsi="Arial" w:cs="Arial"/>
                <w:sz w:val="24"/>
              </w:rPr>
            </w:pPr>
            <w:r w:rsidRPr="00402AA6">
              <w:rPr>
                <w:rFonts w:ascii="Arial" w:hAnsi="Arial" w:cs="Arial"/>
                <w:sz w:val="24"/>
              </w:rPr>
              <w:t xml:space="preserve">Generally Issuer-Dealer </w:t>
            </w:r>
            <w:r>
              <w:rPr>
                <w:rFonts w:ascii="Arial" w:hAnsi="Arial" w:cs="Arial"/>
                <w:sz w:val="24"/>
              </w:rPr>
              <w:t>Exemptions available for issuer</w:t>
            </w:r>
            <w:r w:rsidRPr="00402AA6">
              <w:rPr>
                <w:rFonts w:ascii="Arial" w:hAnsi="Arial" w:cs="Arial"/>
                <w:sz w:val="24"/>
              </w:rPr>
              <w:t>; however, a few Issuer-Dealer registrations required.</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 xml:space="preserve">Disclosure Only </w:t>
            </w:r>
            <w:r w:rsidR="00CC4882">
              <w:rPr>
                <w:rFonts w:ascii="Arial" w:hAnsi="Arial" w:cs="Arial"/>
                <w:b/>
                <w:sz w:val="24"/>
              </w:rPr>
              <w:t xml:space="preserve">(Easy) </w:t>
            </w:r>
            <w:r w:rsidRPr="00692184">
              <w:rPr>
                <w:rFonts w:ascii="Arial" w:hAnsi="Arial" w:cs="Arial"/>
                <w:b/>
                <w:sz w:val="24"/>
              </w:rPr>
              <w:t>States</w:t>
            </w:r>
          </w:p>
        </w:tc>
        <w:tc>
          <w:tcPr>
            <w:tcW w:w="4090" w:type="dxa"/>
          </w:tcPr>
          <w:p w:rsidR="00C0186B" w:rsidRPr="00402AA6" w:rsidRDefault="00C0186B" w:rsidP="00402AA6">
            <w:pPr>
              <w:rPr>
                <w:rFonts w:ascii="Arial" w:hAnsi="Arial" w:cs="Arial"/>
                <w:sz w:val="24"/>
              </w:rPr>
            </w:pPr>
            <w:r w:rsidRPr="00402AA6">
              <w:rPr>
                <w:rFonts w:ascii="Arial" w:hAnsi="Arial" w:cs="Arial"/>
                <w:sz w:val="24"/>
              </w:rPr>
              <w:t>Some states conduct light merit review on 4(2) offerings.</w:t>
            </w:r>
          </w:p>
        </w:tc>
        <w:tc>
          <w:tcPr>
            <w:tcW w:w="4090" w:type="dxa"/>
          </w:tcPr>
          <w:p w:rsidR="00C0186B" w:rsidRPr="00402AA6" w:rsidRDefault="00C0186B" w:rsidP="00402AA6">
            <w:pPr>
              <w:rPr>
                <w:rFonts w:ascii="Arial" w:hAnsi="Arial" w:cs="Arial"/>
                <w:sz w:val="24"/>
              </w:rPr>
            </w:pPr>
            <w:r w:rsidRPr="00402AA6">
              <w:rPr>
                <w:rFonts w:ascii="Arial" w:hAnsi="Arial" w:cs="Arial"/>
                <w:sz w:val="24"/>
              </w:rPr>
              <w:t>ALL, because of NSMIA.  However, filings are required in almost every state. Filing fees range from $100 to $1,385 per state. Average $200-300 per state in filing fees. Filing document package required in each state.</w:t>
            </w:r>
          </w:p>
        </w:tc>
        <w:tc>
          <w:tcPr>
            <w:tcW w:w="4233" w:type="dxa"/>
          </w:tcPr>
          <w:p w:rsidR="00C0186B" w:rsidRPr="00402AA6" w:rsidRDefault="00C0186B" w:rsidP="00402AA6">
            <w:pPr>
              <w:rPr>
                <w:rFonts w:ascii="Arial" w:hAnsi="Arial" w:cs="Arial"/>
                <w:sz w:val="24"/>
              </w:rPr>
            </w:pPr>
            <w:r w:rsidRPr="00402AA6">
              <w:rPr>
                <w:rFonts w:ascii="Arial" w:hAnsi="Arial" w:cs="Arial"/>
                <w:sz w:val="24"/>
              </w:rPr>
              <w:t xml:space="preserve">CA (only if investors meet suitability requirements of §25102(n) $250,000 net worth and $100,000 income, or $500,000 net worth (net worth excludes home, home furnishings and autos); no blind pools or roll ups permitted.) DC, IA (accrediteds only), MN (accrediteds only and </w:t>
            </w:r>
            <w:r w:rsidRPr="00402AA6">
              <w:rPr>
                <w:rFonts w:ascii="Arial" w:hAnsi="Arial" w:cs="Arial"/>
                <w:sz w:val="24"/>
                <w:u w:val="single"/>
              </w:rPr>
              <w:t>&lt;</w:t>
            </w:r>
            <w:r w:rsidRPr="00402AA6">
              <w:rPr>
                <w:rFonts w:ascii="Arial" w:hAnsi="Arial" w:cs="Arial"/>
                <w:sz w:val="24"/>
              </w:rPr>
              <w:t xml:space="preserve">10 MN), NY, </w:t>
            </w:r>
            <w:r w:rsidRPr="00402AA6">
              <w:rPr>
                <w:rFonts w:ascii="Arial" w:hAnsi="Arial" w:cs="Arial"/>
                <w:sz w:val="24"/>
                <w:u w:val="single"/>
              </w:rPr>
              <w:t>&lt;</w:t>
            </w:r>
            <w:r w:rsidRPr="00402AA6">
              <w:rPr>
                <w:rFonts w:ascii="Arial" w:hAnsi="Arial" w:cs="Arial"/>
                <w:sz w:val="24"/>
              </w:rPr>
              <w:t>15 TN (if pre-existing relationship)</w:t>
            </w:r>
          </w:p>
        </w:tc>
      </w:tr>
      <w:tr w:rsidR="00C0186B" w:rsidRPr="00402AA6" w:rsidTr="00402AA6">
        <w:tc>
          <w:tcPr>
            <w:tcW w:w="2502" w:type="dxa"/>
            <w:shd w:val="clear" w:color="auto" w:fill="F2F2F2" w:themeFill="background1" w:themeFillShade="F2"/>
          </w:tcPr>
          <w:p w:rsidR="00C0186B" w:rsidRPr="00692184" w:rsidRDefault="00CC4882" w:rsidP="00CC4882">
            <w:pPr>
              <w:rPr>
                <w:rFonts w:ascii="Arial" w:hAnsi="Arial" w:cs="Arial"/>
                <w:b/>
                <w:sz w:val="24"/>
              </w:rPr>
            </w:pPr>
            <w:r>
              <w:rPr>
                <w:rFonts w:ascii="Arial" w:hAnsi="Arial" w:cs="Arial"/>
                <w:b/>
                <w:sz w:val="24"/>
              </w:rPr>
              <w:t>Moderate States Requiring  Audited Financials &amp; Escrow</w:t>
            </w:r>
            <w:r w:rsidR="00C0186B" w:rsidRPr="00692184">
              <w:rPr>
                <w:rFonts w:ascii="Arial" w:hAnsi="Arial" w:cs="Arial"/>
                <w:b/>
                <w:sz w:val="24"/>
              </w:rPr>
              <w:t xml:space="preserve"> Offering Minimum</w:t>
            </w:r>
          </w:p>
        </w:tc>
        <w:tc>
          <w:tcPr>
            <w:tcW w:w="4090" w:type="dxa"/>
          </w:tcPr>
          <w:p w:rsidR="00C0186B" w:rsidRPr="00402AA6" w:rsidRDefault="00C0186B" w:rsidP="00402AA6">
            <w:pPr>
              <w:rPr>
                <w:rFonts w:ascii="Arial" w:hAnsi="Arial" w:cs="Arial"/>
                <w:sz w:val="24"/>
              </w:rPr>
            </w:pPr>
            <w:r w:rsidRPr="00402AA6">
              <w:rPr>
                <w:rFonts w:ascii="Arial" w:hAnsi="Arial" w:cs="Arial"/>
                <w:sz w:val="24"/>
              </w:rPr>
              <w:t>N/A.</w:t>
            </w:r>
          </w:p>
        </w:tc>
        <w:tc>
          <w:tcPr>
            <w:tcW w:w="4090" w:type="dxa"/>
          </w:tcPr>
          <w:p w:rsidR="00C0186B" w:rsidRPr="00402AA6" w:rsidRDefault="00C0186B" w:rsidP="00402AA6">
            <w:pPr>
              <w:rPr>
                <w:rFonts w:ascii="Arial" w:hAnsi="Arial" w:cs="Arial"/>
                <w:sz w:val="24"/>
              </w:rPr>
            </w:pPr>
            <w:r w:rsidRPr="00402AA6">
              <w:rPr>
                <w:rFonts w:ascii="Arial" w:hAnsi="Arial" w:cs="Arial"/>
                <w:sz w:val="24"/>
              </w:rPr>
              <w:t>N/A</w:t>
            </w:r>
          </w:p>
        </w:tc>
        <w:tc>
          <w:tcPr>
            <w:tcW w:w="4233" w:type="dxa"/>
          </w:tcPr>
          <w:p w:rsidR="00C0186B" w:rsidRPr="00402AA6" w:rsidRDefault="00C0186B" w:rsidP="00402AA6">
            <w:pPr>
              <w:rPr>
                <w:rFonts w:ascii="Arial" w:hAnsi="Arial" w:cs="Arial"/>
                <w:sz w:val="24"/>
              </w:rPr>
            </w:pPr>
            <w:r w:rsidRPr="00402AA6">
              <w:rPr>
                <w:rFonts w:ascii="Arial" w:hAnsi="Arial" w:cs="Arial"/>
                <w:sz w:val="24"/>
              </w:rPr>
              <w:t xml:space="preserve">AZ ($100,000 and 10 person max, if qualify for §14-4-102 exemption – must know the AZ persons in advance) </w:t>
            </w:r>
            <w:r w:rsidRPr="00402AA6">
              <w:rPr>
                <w:rStyle w:val="FootnoteReference"/>
                <w:rFonts w:ascii="Arial" w:hAnsi="Arial" w:cs="Arial"/>
                <w:sz w:val="24"/>
              </w:rPr>
              <w:footnoteReference w:id="6"/>
            </w:r>
            <w:r w:rsidRPr="00402AA6">
              <w:rPr>
                <w:rFonts w:ascii="Arial" w:hAnsi="Arial" w:cs="Arial"/>
                <w:sz w:val="24"/>
              </w:rPr>
              <w:t xml:space="preserve">, AR </w:t>
            </w:r>
            <w:r w:rsidRPr="00402AA6">
              <w:rPr>
                <w:rFonts w:ascii="Arial" w:hAnsi="Arial" w:cs="Arial"/>
                <w:sz w:val="24"/>
                <w:vertAlign w:val="superscript"/>
              </w:rPr>
              <w:t>6</w:t>
            </w:r>
            <w:r w:rsidRPr="00402AA6">
              <w:rPr>
                <w:rFonts w:ascii="Arial" w:hAnsi="Arial" w:cs="Arial"/>
                <w:sz w:val="24"/>
              </w:rPr>
              <w:t>, CO, CT, NV, WA</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Difficult States</w:t>
            </w:r>
          </w:p>
        </w:tc>
        <w:tc>
          <w:tcPr>
            <w:tcW w:w="4090" w:type="dxa"/>
          </w:tcPr>
          <w:p w:rsidR="00C0186B" w:rsidRPr="00402AA6" w:rsidRDefault="00C0186B" w:rsidP="00402AA6">
            <w:pPr>
              <w:rPr>
                <w:rFonts w:ascii="Arial" w:hAnsi="Arial" w:cs="Arial"/>
                <w:sz w:val="24"/>
              </w:rPr>
            </w:pPr>
            <w:r w:rsidRPr="00402AA6">
              <w:rPr>
                <w:rFonts w:ascii="Arial" w:hAnsi="Arial" w:cs="Arial"/>
                <w:sz w:val="24"/>
              </w:rPr>
              <w:t>Arkansas, New Mexico, a few others.</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None. All states require notices only.</w:t>
            </w:r>
          </w:p>
        </w:tc>
        <w:tc>
          <w:tcPr>
            <w:tcW w:w="4233" w:type="dxa"/>
          </w:tcPr>
          <w:p w:rsidR="00C0186B" w:rsidRPr="00402AA6" w:rsidRDefault="00C0186B" w:rsidP="00402AA6">
            <w:pPr>
              <w:rPr>
                <w:rFonts w:ascii="Arial" w:hAnsi="Arial" w:cs="Arial"/>
                <w:sz w:val="24"/>
              </w:rPr>
            </w:pPr>
            <w:r w:rsidRPr="00402AA6">
              <w:rPr>
                <w:rFonts w:ascii="Arial" w:hAnsi="Arial" w:cs="Arial"/>
                <w:sz w:val="24"/>
              </w:rPr>
              <w:t>CA (for regular investors) and all other except those noted in the 2 rows above. AL</w:t>
            </w:r>
            <w:r w:rsidRPr="00402AA6">
              <w:rPr>
                <w:rStyle w:val="FootnoteReference"/>
                <w:rFonts w:ascii="Arial" w:hAnsi="Arial" w:cs="Arial"/>
                <w:sz w:val="24"/>
              </w:rPr>
              <w:footnoteReference w:id="7"/>
            </w:r>
            <w:r w:rsidRPr="00402AA6">
              <w:rPr>
                <w:rFonts w:ascii="Arial" w:hAnsi="Arial" w:cs="Arial"/>
                <w:sz w:val="24"/>
              </w:rPr>
              <w:t xml:space="preserve">, FL </w:t>
            </w:r>
            <w:r w:rsidRPr="00402AA6">
              <w:rPr>
                <w:rFonts w:ascii="Arial" w:hAnsi="Arial" w:cs="Arial"/>
                <w:sz w:val="24"/>
                <w:vertAlign w:val="superscript"/>
              </w:rPr>
              <w:t>7</w:t>
            </w:r>
            <w:r w:rsidRPr="00402AA6">
              <w:rPr>
                <w:rFonts w:ascii="Arial" w:hAnsi="Arial" w:cs="Arial"/>
                <w:sz w:val="24"/>
              </w:rPr>
              <w:t xml:space="preserve">, ME </w:t>
            </w:r>
            <w:r w:rsidRPr="00402AA6">
              <w:rPr>
                <w:rFonts w:ascii="Arial" w:hAnsi="Arial" w:cs="Arial"/>
                <w:sz w:val="24"/>
                <w:vertAlign w:val="superscript"/>
              </w:rPr>
              <w:t>7</w:t>
            </w:r>
            <w:r w:rsidRPr="00402AA6">
              <w:rPr>
                <w:rFonts w:ascii="Arial" w:hAnsi="Arial" w:cs="Arial"/>
                <w:sz w:val="24"/>
              </w:rPr>
              <w:t xml:space="preserve"> </w:t>
            </w:r>
          </w:p>
        </w:tc>
      </w:tr>
      <w:tr w:rsidR="00C0186B" w:rsidRPr="00402AA6" w:rsidTr="00402AA6">
        <w:tc>
          <w:tcPr>
            <w:tcW w:w="2502" w:type="dxa"/>
            <w:shd w:val="clear" w:color="auto" w:fill="F2F2F2" w:themeFill="background1" w:themeFillShade="F2"/>
          </w:tcPr>
          <w:p w:rsidR="00C0186B" w:rsidRPr="00692184" w:rsidRDefault="00200447" w:rsidP="00CC4882">
            <w:pPr>
              <w:rPr>
                <w:rFonts w:ascii="Arial" w:hAnsi="Arial" w:cs="Arial"/>
                <w:b/>
                <w:sz w:val="24"/>
              </w:rPr>
            </w:pPr>
            <w:r>
              <w:rPr>
                <w:rFonts w:ascii="Arial" w:hAnsi="Arial" w:cs="Arial"/>
                <w:b/>
                <w:sz w:val="24"/>
              </w:rPr>
              <w:t xml:space="preserve">States </w:t>
            </w:r>
            <w:r w:rsidR="00CC4882">
              <w:rPr>
                <w:rFonts w:ascii="Arial" w:hAnsi="Arial" w:cs="Arial"/>
                <w:b/>
                <w:sz w:val="24"/>
              </w:rPr>
              <w:t>Where 504 is a N</w:t>
            </w:r>
            <w:r w:rsidR="00C0186B" w:rsidRPr="00692184">
              <w:rPr>
                <w:rFonts w:ascii="Arial" w:hAnsi="Arial" w:cs="Arial"/>
                <w:b/>
                <w:sz w:val="24"/>
              </w:rPr>
              <w:t xml:space="preserve">otice </w:t>
            </w:r>
            <w:r w:rsidR="00CC4882">
              <w:rPr>
                <w:rFonts w:ascii="Arial" w:hAnsi="Arial" w:cs="Arial"/>
                <w:b/>
                <w:sz w:val="24"/>
              </w:rPr>
              <w:t>F</w:t>
            </w:r>
            <w:r w:rsidR="00C0186B" w:rsidRPr="00692184">
              <w:rPr>
                <w:rFonts w:ascii="Arial" w:hAnsi="Arial" w:cs="Arial"/>
                <w:b/>
                <w:sz w:val="24"/>
              </w:rPr>
              <w:t>iling, if no Disqual</w:t>
            </w:r>
            <w:r w:rsidR="00CC4882">
              <w:rPr>
                <w:rFonts w:ascii="Arial" w:hAnsi="Arial" w:cs="Arial"/>
                <w:b/>
                <w:sz w:val="24"/>
              </w:rPr>
              <w:t>ification of P</w:t>
            </w:r>
            <w:r w:rsidR="00C0186B" w:rsidRPr="00692184">
              <w:rPr>
                <w:rFonts w:ascii="Arial" w:hAnsi="Arial" w:cs="Arial"/>
                <w:b/>
                <w:sz w:val="24"/>
              </w:rPr>
              <w:t xml:space="preserve">rincipals or issuer, </w:t>
            </w:r>
            <w:r>
              <w:rPr>
                <w:rFonts w:ascii="Arial" w:hAnsi="Arial" w:cs="Arial"/>
                <w:b/>
                <w:sz w:val="24"/>
              </w:rPr>
              <w:t xml:space="preserve">+ </w:t>
            </w:r>
            <w:r w:rsidRPr="00200447">
              <w:rPr>
                <w:rFonts w:ascii="Arial" w:hAnsi="Arial" w:cs="Arial"/>
                <w:b/>
                <w:sz w:val="24"/>
              </w:rPr>
              <w:t>of</w:t>
            </w:r>
            <w:r>
              <w:rPr>
                <w:rFonts w:ascii="Arial" w:hAnsi="Arial" w:cs="Arial"/>
                <w:b/>
                <w:sz w:val="24"/>
              </w:rPr>
              <w:t>fering is Registered in 1</w:t>
            </w:r>
            <w:r w:rsidR="00C0186B" w:rsidRPr="00200447">
              <w:rPr>
                <w:rFonts w:ascii="Arial" w:hAnsi="Arial" w:cs="Arial"/>
                <w:b/>
                <w:sz w:val="24"/>
              </w:rPr>
              <w:t xml:space="preserve"> </w:t>
            </w:r>
            <w:r w:rsidR="00CC4882">
              <w:rPr>
                <w:rFonts w:ascii="Arial" w:hAnsi="Arial" w:cs="Arial"/>
                <w:b/>
                <w:sz w:val="24"/>
              </w:rPr>
              <w:t xml:space="preserve">other </w:t>
            </w:r>
            <w:r w:rsidR="00C0186B" w:rsidRPr="00200447">
              <w:rPr>
                <w:rFonts w:ascii="Arial" w:hAnsi="Arial" w:cs="Arial"/>
                <w:b/>
                <w:sz w:val="24"/>
              </w:rPr>
              <w:t>State</w:t>
            </w:r>
            <w:r w:rsidRPr="00200447">
              <w:rPr>
                <w:rFonts w:ascii="Arial" w:hAnsi="Arial" w:cs="Arial"/>
                <w:b/>
                <w:sz w:val="24"/>
              </w:rPr>
              <w:t xml:space="preserve"> </w:t>
            </w:r>
          </w:p>
        </w:tc>
        <w:tc>
          <w:tcPr>
            <w:tcW w:w="4090" w:type="dxa"/>
          </w:tcPr>
          <w:p w:rsidR="00C0186B" w:rsidRPr="00402AA6" w:rsidRDefault="00C0186B" w:rsidP="00402AA6">
            <w:pPr>
              <w:pStyle w:val="Heading2"/>
              <w:rPr>
                <w:rFonts w:ascii="Arial" w:hAnsi="Arial" w:cs="Arial"/>
              </w:rPr>
            </w:pPr>
            <w:r w:rsidRPr="00402AA6">
              <w:rPr>
                <w:rFonts w:ascii="Arial" w:hAnsi="Arial" w:cs="Arial"/>
              </w:rPr>
              <w:t>Not Applicable</w:t>
            </w:r>
          </w:p>
        </w:tc>
        <w:tc>
          <w:tcPr>
            <w:tcW w:w="4090" w:type="dxa"/>
          </w:tcPr>
          <w:p w:rsidR="00C0186B" w:rsidRPr="00402AA6" w:rsidRDefault="00C0186B" w:rsidP="00402AA6">
            <w:pPr>
              <w:pStyle w:val="Heading2"/>
              <w:rPr>
                <w:rFonts w:ascii="Arial" w:hAnsi="Arial" w:cs="Arial"/>
              </w:rPr>
            </w:pPr>
            <w:r w:rsidRPr="00402AA6">
              <w:rPr>
                <w:rFonts w:ascii="Arial" w:hAnsi="Arial" w:cs="Arial"/>
              </w:rPr>
              <w:t>Not Applicable</w:t>
            </w:r>
          </w:p>
        </w:tc>
        <w:tc>
          <w:tcPr>
            <w:tcW w:w="4233" w:type="dxa"/>
          </w:tcPr>
          <w:p w:rsidR="00C0186B" w:rsidRPr="00402AA6" w:rsidRDefault="00C0186B" w:rsidP="00200447">
            <w:pPr>
              <w:rPr>
                <w:rFonts w:ascii="Arial" w:hAnsi="Arial" w:cs="Arial"/>
                <w:sz w:val="24"/>
              </w:rPr>
            </w:pPr>
            <w:r w:rsidRPr="00402AA6">
              <w:rPr>
                <w:rFonts w:ascii="Arial" w:hAnsi="Arial" w:cs="Arial"/>
                <w:sz w:val="24"/>
              </w:rPr>
              <w:t xml:space="preserve">AK, AZ, AR, CA, CO, CT, GA, ID, IL, IN, IA, KS, KY, LA </w:t>
            </w:r>
            <w:r w:rsidRPr="00402AA6">
              <w:rPr>
                <w:rStyle w:val="FootnoteReference"/>
                <w:rFonts w:ascii="Arial" w:hAnsi="Arial" w:cs="Arial"/>
                <w:sz w:val="24"/>
              </w:rPr>
              <w:footnoteReference w:id="8"/>
            </w:r>
            <w:r w:rsidRPr="00402AA6">
              <w:rPr>
                <w:rFonts w:ascii="Arial" w:hAnsi="Arial" w:cs="Arial"/>
                <w:sz w:val="24"/>
              </w:rPr>
              <w:t>, MD, MA, MI, MS, MO, MT, NV, NH, NJ, NM, NC, ND, OH, OK, OR, PA, RI, SC, SD, TN, TX, UT, VT, VA, WA, WV, WI, WY.</w:t>
            </w:r>
            <w:r w:rsidR="00200447">
              <w:rPr>
                <w:rFonts w:ascii="Arial" w:hAnsi="Arial" w:cs="Arial"/>
                <w:sz w:val="24"/>
              </w:rPr>
              <w:t xml:space="preserve"> </w:t>
            </w:r>
            <w:r w:rsidRPr="00402AA6">
              <w:rPr>
                <w:rFonts w:ascii="Arial" w:hAnsi="Arial" w:cs="Arial"/>
                <w:sz w:val="24"/>
              </w:rPr>
              <w:t>(</w:t>
            </w:r>
            <w:r w:rsidR="00200447">
              <w:rPr>
                <w:rFonts w:ascii="Arial" w:hAnsi="Arial" w:cs="Arial"/>
                <w:sz w:val="24"/>
              </w:rPr>
              <w:t>L</w:t>
            </w:r>
            <w:r w:rsidRPr="00402AA6">
              <w:rPr>
                <w:rFonts w:ascii="Arial" w:hAnsi="Arial" w:cs="Arial"/>
                <w:sz w:val="24"/>
              </w:rPr>
              <w:t>ist provided by CCH and requires NFH verification and updating</w:t>
            </w:r>
            <w:r w:rsidR="00032780">
              <w:rPr>
                <w:rFonts w:ascii="Arial" w:hAnsi="Arial" w:cs="Arial"/>
                <w:sz w:val="24"/>
              </w:rPr>
              <w:t>. Not updated since 2012</w:t>
            </w:r>
            <w:r w:rsidRPr="00402AA6">
              <w:rPr>
                <w:rFonts w:ascii="Arial" w:hAnsi="Arial" w:cs="Arial"/>
                <w:sz w:val="24"/>
              </w:rPr>
              <w:t>.)</w:t>
            </w:r>
            <w:r w:rsidR="00CC4882">
              <w:rPr>
                <w:rFonts w:ascii="Arial" w:hAnsi="Arial" w:cs="Arial"/>
                <w:sz w:val="24"/>
              </w:rPr>
              <w:t xml:space="preserve"> </w:t>
            </w:r>
            <w:r w:rsidR="00CC4882">
              <w:rPr>
                <w:rFonts w:ascii="Arial" w:hAnsi="Arial" w:cs="Arial"/>
                <w:b/>
                <w:sz w:val="24"/>
              </w:rPr>
              <w:t>(Issuer Agent Registration</w:t>
            </w:r>
            <w:r w:rsidR="00CC4882" w:rsidRPr="00200447">
              <w:rPr>
                <w:rFonts w:ascii="Arial" w:hAnsi="Arial" w:cs="Arial"/>
                <w:b/>
                <w:sz w:val="24"/>
              </w:rPr>
              <w:t xml:space="preserve"> Required)</w:t>
            </w:r>
          </w:p>
        </w:tc>
      </w:tr>
      <w:tr w:rsidR="00C0186B" w:rsidRPr="00402AA6" w:rsidTr="00402AA6">
        <w:tc>
          <w:tcPr>
            <w:tcW w:w="2502" w:type="dxa"/>
            <w:shd w:val="clear" w:color="auto" w:fill="F2F2F2" w:themeFill="background1" w:themeFillShade="F2"/>
          </w:tcPr>
          <w:p w:rsidR="00C0186B" w:rsidRPr="00692184" w:rsidRDefault="00C0186B" w:rsidP="00CC4882">
            <w:pPr>
              <w:keepNext/>
              <w:rPr>
                <w:rFonts w:ascii="Arial" w:hAnsi="Arial" w:cs="Arial"/>
                <w:b/>
                <w:sz w:val="24"/>
              </w:rPr>
            </w:pPr>
            <w:r w:rsidRPr="00692184">
              <w:rPr>
                <w:rFonts w:ascii="Arial" w:hAnsi="Arial" w:cs="Arial"/>
                <w:b/>
                <w:sz w:val="24"/>
              </w:rPr>
              <w:t xml:space="preserve">States In Which An Offering May Be Made, With No Filing, to a Limited Number of </w:t>
            </w:r>
            <w:r w:rsidRPr="00FC7013">
              <w:rPr>
                <w:rFonts w:ascii="Arial" w:hAnsi="Arial" w:cs="Arial"/>
                <w:b/>
                <w:sz w:val="24"/>
              </w:rPr>
              <w:t xml:space="preserve">Investors, but </w:t>
            </w:r>
            <w:r w:rsidR="00CC4882" w:rsidRPr="00FC7013">
              <w:rPr>
                <w:rFonts w:ascii="Arial" w:hAnsi="Arial" w:cs="Arial"/>
                <w:b/>
                <w:sz w:val="24"/>
              </w:rPr>
              <w:t>N</w:t>
            </w:r>
            <w:r w:rsidRPr="00FC7013">
              <w:rPr>
                <w:rFonts w:ascii="Arial" w:hAnsi="Arial" w:cs="Arial"/>
                <w:b/>
                <w:sz w:val="24"/>
              </w:rPr>
              <w:t xml:space="preserve">o </w:t>
            </w:r>
            <w:r w:rsidR="00CC4882" w:rsidRPr="00FC7013">
              <w:rPr>
                <w:rFonts w:ascii="Arial" w:hAnsi="Arial" w:cs="Arial"/>
                <w:b/>
                <w:sz w:val="24"/>
              </w:rPr>
              <w:t xml:space="preserve"> </w:t>
            </w:r>
            <w:r w:rsidR="00CC4882" w:rsidRPr="00FC7013">
              <w:rPr>
                <w:rFonts w:ascii="Arial" w:hAnsi="Arial" w:cs="Arial"/>
                <w:b/>
                <w:sz w:val="24"/>
              </w:rPr>
              <w:lastRenderedPageBreak/>
              <w:t>Public Advertising + N</w:t>
            </w:r>
            <w:r w:rsidRPr="00FC7013">
              <w:rPr>
                <w:rFonts w:ascii="Arial" w:hAnsi="Arial" w:cs="Arial"/>
                <w:b/>
                <w:sz w:val="24"/>
              </w:rPr>
              <w:t xml:space="preserve">o </w:t>
            </w:r>
            <w:r w:rsidR="00CC4882" w:rsidRPr="00FC7013">
              <w:rPr>
                <w:rFonts w:ascii="Arial" w:hAnsi="Arial" w:cs="Arial"/>
                <w:b/>
                <w:sz w:val="24"/>
              </w:rPr>
              <w:t>Fees to Unregistered B</w:t>
            </w:r>
            <w:r w:rsidRPr="00FC7013">
              <w:rPr>
                <w:rFonts w:ascii="Arial" w:hAnsi="Arial" w:cs="Arial"/>
                <w:b/>
                <w:sz w:val="24"/>
              </w:rPr>
              <w:t>rokers.</w:t>
            </w:r>
          </w:p>
        </w:tc>
        <w:tc>
          <w:tcPr>
            <w:tcW w:w="4090" w:type="dxa"/>
          </w:tcPr>
          <w:p w:rsidR="00C0186B" w:rsidRPr="00402AA6" w:rsidRDefault="00C0186B" w:rsidP="00402AA6">
            <w:pPr>
              <w:keepNext/>
              <w:rPr>
                <w:rFonts w:ascii="Arial" w:hAnsi="Arial" w:cs="Arial"/>
                <w:sz w:val="24"/>
              </w:rPr>
            </w:pPr>
            <w:r w:rsidRPr="00402AA6">
              <w:rPr>
                <w:rFonts w:ascii="Arial" w:hAnsi="Arial" w:cs="Arial"/>
                <w:sz w:val="24"/>
              </w:rPr>
              <w:lastRenderedPageBreak/>
              <w:t xml:space="preserve">CO (10), FL, GA (15), IL (unlimited accrediteds), IA (unlimited accrediteds), IN (15 accrediteds), MI (15), MN (10 + unlimited accrediteds), MO (15 + unlimited accrediteds), NJ (10), NV (25), NC </w:t>
            </w:r>
            <w:r w:rsidRPr="00402AA6">
              <w:rPr>
                <w:rFonts w:ascii="Arial" w:hAnsi="Arial" w:cs="Arial"/>
                <w:sz w:val="24"/>
              </w:rPr>
              <w:lastRenderedPageBreak/>
              <w:t>(5), OR (10 + unlimited accredited</w:t>
            </w:r>
            <w:r w:rsidR="00CC4882">
              <w:rPr>
                <w:rFonts w:ascii="Arial" w:hAnsi="Arial" w:cs="Arial"/>
                <w:sz w:val="24"/>
              </w:rPr>
              <w:t>s), PA (2 accrediteds), TX</w:t>
            </w:r>
            <w:r w:rsidRPr="00402AA6">
              <w:rPr>
                <w:rFonts w:ascii="Arial" w:hAnsi="Arial" w:cs="Arial"/>
                <w:sz w:val="24"/>
              </w:rPr>
              <w:t>(</w:t>
            </w:r>
            <w:r w:rsidR="00CC4882">
              <w:rPr>
                <w:rFonts w:ascii="Arial" w:hAnsi="Arial" w:cs="Arial"/>
                <w:sz w:val="24"/>
              </w:rPr>
              <w:t>15) + unlimited accrediteds, WV(10), WI(15), WY(15)</w:t>
            </w:r>
          </w:p>
        </w:tc>
        <w:tc>
          <w:tcPr>
            <w:tcW w:w="4090" w:type="dxa"/>
          </w:tcPr>
          <w:p w:rsidR="00C0186B" w:rsidRPr="00402AA6" w:rsidRDefault="00C0186B" w:rsidP="00402AA6">
            <w:pPr>
              <w:keepNext/>
              <w:rPr>
                <w:rFonts w:ascii="Arial" w:hAnsi="Arial" w:cs="Arial"/>
                <w:sz w:val="24"/>
              </w:rPr>
            </w:pPr>
            <w:r w:rsidRPr="00402AA6">
              <w:rPr>
                <w:rFonts w:ascii="Arial" w:hAnsi="Arial" w:cs="Arial"/>
                <w:sz w:val="24"/>
              </w:rPr>
              <w:lastRenderedPageBreak/>
              <w:t xml:space="preserve">CO (10), FL, GA (15), IL (unlimited accrediteds), IA (unlimited accrediteds), IN (15 accrediteds), MI (15), MN (10 + unlimited accrediteds), MO (15 + unlimited accrediteds), NJ (10), NV (25), NC </w:t>
            </w:r>
            <w:r w:rsidRPr="00402AA6">
              <w:rPr>
                <w:rFonts w:ascii="Arial" w:hAnsi="Arial" w:cs="Arial"/>
                <w:sz w:val="24"/>
              </w:rPr>
              <w:lastRenderedPageBreak/>
              <w:t>(5), OR (10 + unlimited accr</w:t>
            </w:r>
            <w:r w:rsidR="00CC4882">
              <w:rPr>
                <w:rFonts w:ascii="Arial" w:hAnsi="Arial" w:cs="Arial"/>
                <w:sz w:val="24"/>
              </w:rPr>
              <w:t>editeds), PA (2 accrediteds</w:t>
            </w:r>
            <w:r w:rsidRPr="00402AA6">
              <w:rPr>
                <w:rFonts w:ascii="Arial" w:hAnsi="Arial" w:cs="Arial"/>
                <w:sz w:val="24"/>
              </w:rPr>
              <w:t>), TX (15) + unlimited accrediteds, WV (10), WI (15), WY (15).</w:t>
            </w:r>
          </w:p>
        </w:tc>
        <w:tc>
          <w:tcPr>
            <w:tcW w:w="4233" w:type="dxa"/>
          </w:tcPr>
          <w:p w:rsidR="00C0186B" w:rsidRPr="00402AA6" w:rsidRDefault="00C0186B" w:rsidP="00402AA6">
            <w:pPr>
              <w:keepNext/>
              <w:rPr>
                <w:rFonts w:ascii="Arial" w:hAnsi="Arial" w:cs="Arial"/>
                <w:sz w:val="24"/>
              </w:rPr>
            </w:pPr>
            <w:r w:rsidRPr="00402AA6">
              <w:rPr>
                <w:rFonts w:ascii="Arial" w:hAnsi="Arial" w:cs="Arial"/>
                <w:sz w:val="24"/>
              </w:rPr>
              <w:lastRenderedPageBreak/>
              <w:t xml:space="preserve">CO (10), GA (15), IL (unlimited accrediteds), IA (unlimited accrediteds), IN (15 accrediteds), MA (25), MI (15), MN (10 + unlimited accrediteds), MO (15 + unlimited accrediteds), NJ (10), NV (25), NC </w:t>
            </w:r>
            <w:r w:rsidRPr="00402AA6">
              <w:rPr>
                <w:rFonts w:ascii="Arial" w:hAnsi="Arial" w:cs="Arial"/>
                <w:sz w:val="24"/>
              </w:rPr>
              <w:lastRenderedPageBreak/>
              <w:t>(5), OR (10 + unlimited accr</w:t>
            </w:r>
            <w:r w:rsidR="00CC4882">
              <w:rPr>
                <w:rFonts w:ascii="Arial" w:hAnsi="Arial" w:cs="Arial"/>
                <w:sz w:val="24"/>
              </w:rPr>
              <w:t>editeds), PA (2 accrediteds</w:t>
            </w:r>
            <w:r w:rsidRPr="00402AA6">
              <w:rPr>
                <w:rFonts w:ascii="Arial" w:hAnsi="Arial" w:cs="Arial"/>
                <w:sz w:val="24"/>
              </w:rPr>
              <w:t>), TN (15</w:t>
            </w:r>
            <w:r w:rsidR="00CC4882">
              <w:rPr>
                <w:rFonts w:ascii="Arial" w:hAnsi="Arial" w:cs="Arial"/>
                <w:sz w:val="24"/>
              </w:rPr>
              <w:t xml:space="preserve"> pre-existing relationship), TX</w:t>
            </w:r>
            <w:r w:rsidRPr="00402AA6">
              <w:rPr>
                <w:rFonts w:ascii="Arial" w:hAnsi="Arial" w:cs="Arial"/>
                <w:sz w:val="24"/>
              </w:rPr>
              <w:t>(15) + unlimited accrediteds, WV (10), WI (15), WY (15).</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lastRenderedPageBreak/>
              <w:t>Issuer Dealer Registration Required</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w:t>
            </w:r>
          </w:p>
        </w:tc>
        <w:tc>
          <w:tcPr>
            <w:tcW w:w="4090" w:type="dxa"/>
          </w:tcPr>
          <w:p w:rsidR="00C0186B" w:rsidRPr="00402AA6" w:rsidRDefault="00C0186B" w:rsidP="00402AA6">
            <w:pPr>
              <w:rPr>
                <w:rFonts w:ascii="Arial" w:hAnsi="Arial" w:cs="Arial"/>
                <w:sz w:val="24"/>
              </w:rPr>
            </w:pPr>
            <w:r w:rsidRPr="00402AA6">
              <w:rPr>
                <w:rFonts w:ascii="Arial" w:hAnsi="Arial" w:cs="Arial"/>
                <w:sz w:val="24"/>
              </w:rPr>
              <w:t>FL if multiple offerings and deemed to be “engaged in the business”.</w:t>
            </w:r>
          </w:p>
          <w:p w:rsidR="000B1CB2" w:rsidRPr="00402AA6" w:rsidRDefault="000B1CB2" w:rsidP="00402AA6">
            <w:pPr>
              <w:rPr>
                <w:rFonts w:ascii="Arial" w:hAnsi="Arial" w:cs="Arial"/>
                <w:sz w:val="24"/>
              </w:rPr>
            </w:pPr>
            <w:r w:rsidRPr="00402AA6">
              <w:rPr>
                <w:rFonts w:ascii="Arial" w:hAnsi="Arial" w:cs="Arial"/>
                <w:sz w:val="24"/>
              </w:rPr>
              <w:t>CT: Notice Filing required.</w:t>
            </w:r>
          </w:p>
          <w:p w:rsidR="00C0186B" w:rsidRPr="00402AA6" w:rsidRDefault="00C0186B" w:rsidP="00402AA6">
            <w:pPr>
              <w:rPr>
                <w:rFonts w:ascii="Arial" w:hAnsi="Arial" w:cs="Arial"/>
                <w:sz w:val="24"/>
              </w:rPr>
            </w:pPr>
            <w:r w:rsidRPr="00402AA6">
              <w:rPr>
                <w:rFonts w:ascii="Arial" w:hAnsi="Arial" w:cs="Arial"/>
                <w:sz w:val="24"/>
              </w:rPr>
              <w:t>ME, MT, NY</w:t>
            </w:r>
            <w:r w:rsidR="000B1CB2" w:rsidRPr="00402AA6">
              <w:rPr>
                <w:rFonts w:ascii="Arial" w:hAnsi="Arial" w:cs="Arial"/>
                <w:sz w:val="24"/>
              </w:rPr>
              <w:t>, yes</w:t>
            </w:r>
            <w:r w:rsidRPr="00402AA6">
              <w:rPr>
                <w:rFonts w:ascii="Arial" w:hAnsi="Arial" w:cs="Arial"/>
                <w:sz w:val="24"/>
              </w:rPr>
              <w:t xml:space="preserve"> in any event.</w:t>
            </w:r>
          </w:p>
        </w:tc>
        <w:tc>
          <w:tcPr>
            <w:tcW w:w="4233" w:type="dxa"/>
          </w:tcPr>
          <w:p w:rsidR="00C0186B" w:rsidRPr="00402AA6" w:rsidRDefault="00C0186B" w:rsidP="00402AA6">
            <w:pPr>
              <w:rPr>
                <w:rFonts w:ascii="Arial" w:hAnsi="Arial" w:cs="Arial"/>
                <w:sz w:val="24"/>
              </w:rPr>
            </w:pPr>
            <w:r w:rsidRPr="00402AA6">
              <w:rPr>
                <w:rFonts w:ascii="Arial" w:hAnsi="Arial" w:cs="Arial"/>
                <w:sz w:val="24"/>
              </w:rPr>
              <w:t xml:space="preserve">AZ, AR, AL, </w:t>
            </w:r>
            <w:r w:rsidR="000B1CB2" w:rsidRPr="00402AA6">
              <w:rPr>
                <w:rFonts w:ascii="Arial" w:hAnsi="Arial" w:cs="Arial"/>
                <w:sz w:val="24"/>
              </w:rPr>
              <w:t xml:space="preserve">CT, </w:t>
            </w:r>
            <w:r w:rsidRPr="00402AA6">
              <w:rPr>
                <w:rFonts w:ascii="Arial" w:hAnsi="Arial" w:cs="Arial"/>
                <w:sz w:val="24"/>
              </w:rPr>
              <w:t>IL, ID, IA, IN, ME, MT, NV, NM, NY, UT, plus more states.</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Available to 1940 Act Investment Company?</w:t>
            </w:r>
          </w:p>
        </w:tc>
        <w:tc>
          <w:tcPr>
            <w:tcW w:w="4090" w:type="dxa"/>
          </w:tcPr>
          <w:p w:rsidR="00C0186B" w:rsidRPr="00402AA6" w:rsidRDefault="00C0186B" w:rsidP="00402AA6">
            <w:pPr>
              <w:rPr>
                <w:rFonts w:ascii="Arial" w:hAnsi="Arial" w:cs="Arial"/>
                <w:sz w:val="24"/>
              </w:rPr>
            </w:pPr>
            <w:r w:rsidRPr="00402AA6">
              <w:rPr>
                <w:rFonts w:ascii="Arial" w:hAnsi="Arial" w:cs="Arial"/>
                <w:sz w:val="24"/>
              </w:rPr>
              <w:t>Yes</w:t>
            </w:r>
          </w:p>
        </w:tc>
        <w:tc>
          <w:tcPr>
            <w:tcW w:w="4090" w:type="dxa"/>
          </w:tcPr>
          <w:p w:rsidR="00C0186B" w:rsidRPr="00402AA6" w:rsidRDefault="00C0186B" w:rsidP="00402AA6">
            <w:pPr>
              <w:rPr>
                <w:rFonts w:ascii="Arial" w:hAnsi="Arial" w:cs="Arial"/>
                <w:sz w:val="24"/>
              </w:rPr>
            </w:pPr>
            <w:r w:rsidRPr="00402AA6">
              <w:rPr>
                <w:rFonts w:ascii="Arial" w:hAnsi="Arial" w:cs="Arial"/>
                <w:sz w:val="24"/>
              </w:rPr>
              <w:t>Yes.</w:t>
            </w:r>
          </w:p>
        </w:tc>
        <w:tc>
          <w:tcPr>
            <w:tcW w:w="4233" w:type="dxa"/>
          </w:tcPr>
          <w:p w:rsidR="00C0186B" w:rsidRPr="00402AA6" w:rsidRDefault="00C0186B" w:rsidP="00402AA6">
            <w:pPr>
              <w:rPr>
                <w:rFonts w:ascii="Arial" w:hAnsi="Arial" w:cs="Arial"/>
                <w:sz w:val="24"/>
              </w:rPr>
            </w:pPr>
            <w:r w:rsidRPr="00402AA6">
              <w:rPr>
                <w:rFonts w:ascii="Arial" w:hAnsi="Arial" w:cs="Arial"/>
                <w:sz w:val="24"/>
              </w:rPr>
              <w:t>No</w:t>
            </w:r>
          </w:p>
        </w:tc>
      </w:tr>
      <w:tr w:rsidR="00C0186B" w:rsidRPr="00402AA6" w:rsidTr="00402AA6">
        <w:tc>
          <w:tcPr>
            <w:tcW w:w="2502" w:type="dxa"/>
            <w:shd w:val="clear" w:color="auto" w:fill="F2F2F2" w:themeFill="background1" w:themeFillShade="F2"/>
          </w:tcPr>
          <w:p w:rsidR="00C0186B" w:rsidRPr="00692184" w:rsidRDefault="00C0186B" w:rsidP="00402AA6">
            <w:pPr>
              <w:rPr>
                <w:rFonts w:ascii="Arial" w:hAnsi="Arial" w:cs="Arial"/>
                <w:b/>
                <w:sz w:val="24"/>
              </w:rPr>
            </w:pPr>
            <w:r w:rsidRPr="00692184">
              <w:rPr>
                <w:rFonts w:ascii="Arial" w:hAnsi="Arial" w:cs="Arial"/>
                <w:b/>
                <w:sz w:val="24"/>
              </w:rPr>
              <w:t xml:space="preserve">Available to Reporting Company Issuers? </w:t>
            </w:r>
          </w:p>
        </w:tc>
        <w:tc>
          <w:tcPr>
            <w:tcW w:w="4090" w:type="dxa"/>
          </w:tcPr>
          <w:p w:rsidR="00C0186B" w:rsidRPr="00402AA6" w:rsidRDefault="00C0186B" w:rsidP="00402AA6">
            <w:pPr>
              <w:rPr>
                <w:rFonts w:ascii="Arial" w:hAnsi="Arial" w:cs="Arial"/>
                <w:sz w:val="24"/>
              </w:rPr>
            </w:pPr>
            <w:r w:rsidRPr="00402AA6">
              <w:rPr>
                <w:rFonts w:ascii="Arial" w:hAnsi="Arial" w:cs="Arial"/>
                <w:sz w:val="24"/>
              </w:rPr>
              <w:t>No.</w:t>
            </w:r>
          </w:p>
        </w:tc>
        <w:tc>
          <w:tcPr>
            <w:tcW w:w="4090" w:type="dxa"/>
          </w:tcPr>
          <w:p w:rsidR="00C0186B" w:rsidRPr="00402AA6" w:rsidRDefault="00C0186B" w:rsidP="00402AA6">
            <w:pPr>
              <w:rPr>
                <w:rFonts w:ascii="Arial" w:hAnsi="Arial" w:cs="Arial"/>
                <w:sz w:val="24"/>
              </w:rPr>
            </w:pPr>
            <w:r w:rsidRPr="00402AA6">
              <w:rPr>
                <w:rFonts w:ascii="Arial" w:hAnsi="Arial" w:cs="Arial"/>
                <w:sz w:val="24"/>
              </w:rPr>
              <w:t>Yes. However, carefully examine integration issues.</w:t>
            </w:r>
          </w:p>
        </w:tc>
        <w:tc>
          <w:tcPr>
            <w:tcW w:w="4233" w:type="dxa"/>
          </w:tcPr>
          <w:p w:rsidR="00C0186B" w:rsidRPr="00402AA6" w:rsidRDefault="00C0186B" w:rsidP="00402AA6">
            <w:pPr>
              <w:rPr>
                <w:rFonts w:ascii="Arial" w:hAnsi="Arial" w:cs="Arial"/>
                <w:sz w:val="24"/>
              </w:rPr>
            </w:pPr>
            <w:r w:rsidRPr="00402AA6">
              <w:rPr>
                <w:rFonts w:ascii="Arial" w:hAnsi="Arial" w:cs="Arial"/>
                <w:sz w:val="24"/>
              </w:rPr>
              <w:t>No. Issuers subject to § 13 or 15(d) of 1934 Act cannot use.</w:t>
            </w:r>
          </w:p>
        </w:tc>
      </w:tr>
      <w:tr w:rsidR="00C0186B" w:rsidRPr="00402AA6" w:rsidTr="00402AA6">
        <w:tc>
          <w:tcPr>
            <w:tcW w:w="2502" w:type="dxa"/>
            <w:shd w:val="clear" w:color="auto" w:fill="F2F2F2" w:themeFill="background1" w:themeFillShade="F2"/>
          </w:tcPr>
          <w:p w:rsidR="00C0186B" w:rsidRPr="00692184" w:rsidRDefault="00C0186B" w:rsidP="00402AA6">
            <w:pPr>
              <w:rPr>
                <w:rStyle w:val="FootnoteReference"/>
                <w:rFonts w:ascii="Arial" w:hAnsi="Arial" w:cs="Arial"/>
                <w:b/>
                <w:sz w:val="24"/>
              </w:rPr>
            </w:pPr>
            <w:r w:rsidRPr="00692184">
              <w:rPr>
                <w:rFonts w:ascii="Arial" w:hAnsi="Arial" w:cs="Arial"/>
                <w:b/>
                <w:sz w:val="24"/>
              </w:rPr>
              <w:t>Available to Developmental Stage Issuer With No Specific Business Purpose?</w:t>
            </w:r>
          </w:p>
        </w:tc>
        <w:tc>
          <w:tcPr>
            <w:tcW w:w="4090" w:type="dxa"/>
          </w:tcPr>
          <w:p w:rsidR="00C0186B" w:rsidRPr="00402AA6" w:rsidRDefault="00C0186B" w:rsidP="00402AA6">
            <w:pPr>
              <w:rPr>
                <w:rFonts w:ascii="Arial" w:hAnsi="Arial" w:cs="Arial"/>
                <w:sz w:val="24"/>
              </w:rPr>
            </w:pPr>
            <w:r w:rsidRPr="00402AA6">
              <w:rPr>
                <w:rFonts w:ascii="Arial" w:hAnsi="Arial" w:cs="Arial"/>
                <w:sz w:val="24"/>
              </w:rPr>
              <w:t>Yes.</w:t>
            </w:r>
          </w:p>
        </w:tc>
        <w:tc>
          <w:tcPr>
            <w:tcW w:w="4090" w:type="dxa"/>
          </w:tcPr>
          <w:p w:rsidR="00C0186B" w:rsidRPr="00402AA6" w:rsidRDefault="00C0186B" w:rsidP="00402AA6">
            <w:pPr>
              <w:rPr>
                <w:rFonts w:ascii="Arial" w:hAnsi="Arial" w:cs="Arial"/>
                <w:sz w:val="24"/>
              </w:rPr>
            </w:pPr>
            <w:r w:rsidRPr="00402AA6">
              <w:rPr>
                <w:rFonts w:ascii="Arial" w:hAnsi="Arial" w:cs="Arial"/>
                <w:sz w:val="24"/>
              </w:rPr>
              <w:t>Yes.</w:t>
            </w:r>
          </w:p>
        </w:tc>
        <w:tc>
          <w:tcPr>
            <w:tcW w:w="4233" w:type="dxa"/>
          </w:tcPr>
          <w:p w:rsidR="00C0186B" w:rsidRPr="00402AA6" w:rsidRDefault="00C0186B" w:rsidP="00402AA6">
            <w:pPr>
              <w:rPr>
                <w:rFonts w:ascii="Arial" w:hAnsi="Arial" w:cs="Arial"/>
                <w:sz w:val="24"/>
              </w:rPr>
            </w:pPr>
            <w:r w:rsidRPr="00402AA6">
              <w:rPr>
                <w:rFonts w:ascii="Arial" w:hAnsi="Arial" w:cs="Arial"/>
                <w:sz w:val="24"/>
              </w:rPr>
              <w:t>No.</w:t>
            </w:r>
          </w:p>
        </w:tc>
      </w:tr>
      <w:tr w:rsidR="00C0186B" w:rsidRPr="00402AA6" w:rsidTr="00402AA6">
        <w:tc>
          <w:tcPr>
            <w:tcW w:w="2502" w:type="dxa"/>
            <w:shd w:val="clear" w:color="auto" w:fill="F2F2F2" w:themeFill="background1" w:themeFillShade="F2"/>
          </w:tcPr>
          <w:p w:rsidR="00C0186B" w:rsidRPr="00692184" w:rsidRDefault="00FC7013" w:rsidP="00402AA6">
            <w:pPr>
              <w:rPr>
                <w:rStyle w:val="FootnoteReference"/>
                <w:rFonts w:ascii="Arial" w:hAnsi="Arial" w:cs="Arial"/>
                <w:b/>
                <w:sz w:val="24"/>
              </w:rPr>
            </w:pPr>
            <w:r>
              <w:rPr>
                <w:rFonts w:ascii="Arial" w:hAnsi="Arial" w:cs="Arial"/>
                <w:b/>
                <w:sz w:val="24"/>
              </w:rPr>
              <w:t>N</w:t>
            </w:r>
            <w:r w:rsidR="00C0186B" w:rsidRPr="00692184">
              <w:rPr>
                <w:rFonts w:ascii="Arial" w:hAnsi="Arial" w:cs="Arial"/>
                <w:b/>
                <w:sz w:val="24"/>
              </w:rPr>
              <w:t>on-US or non-Canadian Issuer?</w:t>
            </w:r>
          </w:p>
        </w:tc>
        <w:tc>
          <w:tcPr>
            <w:tcW w:w="4090" w:type="dxa"/>
          </w:tcPr>
          <w:p w:rsidR="00C0186B" w:rsidRPr="00402AA6" w:rsidRDefault="00C0186B" w:rsidP="00402AA6">
            <w:pPr>
              <w:rPr>
                <w:rFonts w:ascii="Arial" w:hAnsi="Arial" w:cs="Arial"/>
                <w:sz w:val="24"/>
              </w:rPr>
            </w:pPr>
            <w:r w:rsidRPr="00402AA6">
              <w:rPr>
                <w:rFonts w:ascii="Arial" w:hAnsi="Arial" w:cs="Arial"/>
                <w:sz w:val="24"/>
              </w:rPr>
              <w:t>Yes.</w:t>
            </w:r>
          </w:p>
        </w:tc>
        <w:tc>
          <w:tcPr>
            <w:tcW w:w="4090" w:type="dxa"/>
          </w:tcPr>
          <w:p w:rsidR="00C0186B" w:rsidRPr="00402AA6" w:rsidRDefault="00C0186B" w:rsidP="00402AA6">
            <w:pPr>
              <w:rPr>
                <w:rFonts w:ascii="Arial" w:hAnsi="Arial" w:cs="Arial"/>
                <w:sz w:val="24"/>
              </w:rPr>
            </w:pPr>
            <w:r w:rsidRPr="00402AA6">
              <w:rPr>
                <w:rFonts w:ascii="Arial" w:hAnsi="Arial" w:cs="Arial"/>
                <w:sz w:val="24"/>
              </w:rPr>
              <w:t>Yes.</w:t>
            </w:r>
          </w:p>
        </w:tc>
        <w:tc>
          <w:tcPr>
            <w:tcW w:w="4233" w:type="dxa"/>
          </w:tcPr>
          <w:p w:rsidR="00C0186B" w:rsidRPr="00402AA6" w:rsidRDefault="00C0186B" w:rsidP="00402AA6">
            <w:pPr>
              <w:rPr>
                <w:rFonts w:ascii="Arial" w:hAnsi="Arial" w:cs="Arial"/>
                <w:sz w:val="24"/>
              </w:rPr>
            </w:pPr>
            <w:r w:rsidRPr="00402AA6">
              <w:rPr>
                <w:rFonts w:ascii="Arial" w:hAnsi="Arial" w:cs="Arial"/>
                <w:sz w:val="24"/>
              </w:rPr>
              <w:t>Yes.  But Form U-7 is not.</w:t>
            </w:r>
          </w:p>
        </w:tc>
      </w:tr>
      <w:tr w:rsidR="00C0186B" w:rsidRPr="00402AA6" w:rsidTr="00402AA6">
        <w:tc>
          <w:tcPr>
            <w:tcW w:w="2502" w:type="dxa"/>
            <w:shd w:val="clear" w:color="auto" w:fill="F2F2F2" w:themeFill="background1" w:themeFillShade="F2"/>
          </w:tcPr>
          <w:p w:rsidR="00C0186B" w:rsidRPr="00692184" w:rsidRDefault="00CC4882" w:rsidP="00CC4882">
            <w:pPr>
              <w:rPr>
                <w:rStyle w:val="FootnoteReference"/>
                <w:rFonts w:ascii="Arial" w:hAnsi="Arial" w:cs="Arial"/>
                <w:b/>
                <w:sz w:val="24"/>
              </w:rPr>
            </w:pPr>
            <w:r>
              <w:rPr>
                <w:rFonts w:ascii="Arial" w:hAnsi="Arial" w:cs="Arial"/>
                <w:b/>
                <w:sz w:val="24"/>
              </w:rPr>
              <w:t>Unique Form U-7 Requirements M</w:t>
            </w:r>
            <w:r w:rsidR="00C0186B" w:rsidRPr="00692184">
              <w:rPr>
                <w:rFonts w:ascii="Arial" w:hAnsi="Arial" w:cs="Arial"/>
                <w:b/>
                <w:sz w:val="24"/>
              </w:rPr>
              <w:t xml:space="preserve">ay </w:t>
            </w:r>
            <w:r>
              <w:rPr>
                <w:rFonts w:ascii="Arial" w:hAnsi="Arial" w:cs="Arial"/>
                <w:b/>
                <w:sz w:val="24"/>
              </w:rPr>
              <w:t>A</w:t>
            </w:r>
            <w:r w:rsidR="00C0186B" w:rsidRPr="00692184">
              <w:rPr>
                <w:rFonts w:ascii="Arial" w:hAnsi="Arial" w:cs="Arial"/>
                <w:b/>
                <w:sz w:val="24"/>
              </w:rPr>
              <w:t xml:space="preserve">pply in </w:t>
            </w:r>
            <w:r>
              <w:rPr>
                <w:rFonts w:ascii="Arial" w:hAnsi="Arial" w:cs="Arial"/>
                <w:b/>
                <w:sz w:val="24"/>
              </w:rPr>
              <w:t>S</w:t>
            </w:r>
            <w:r w:rsidR="00C0186B" w:rsidRPr="00692184">
              <w:rPr>
                <w:rFonts w:ascii="Arial" w:hAnsi="Arial" w:cs="Arial"/>
                <w:b/>
                <w:sz w:val="24"/>
              </w:rPr>
              <w:t>tate</w:t>
            </w:r>
          </w:p>
        </w:tc>
        <w:tc>
          <w:tcPr>
            <w:tcW w:w="4090" w:type="dxa"/>
          </w:tcPr>
          <w:p w:rsidR="00C0186B" w:rsidRPr="00402AA6" w:rsidRDefault="00C0186B" w:rsidP="00402AA6">
            <w:pPr>
              <w:rPr>
                <w:rFonts w:ascii="Arial" w:hAnsi="Arial" w:cs="Arial"/>
                <w:sz w:val="24"/>
              </w:rPr>
            </w:pPr>
            <w:r w:rsidRPr="00402AA6">
              <w:rPr>
                <w:rFonts w:ascii="Arial" w:hAnsi="Arial" w:cs="Arial"/>
                <w:sz w:val="24"/>
              </w:rPr>
              <w:t>N/A</w:t>
            </w:r>
          </w:p>
        </w:tc>
        <w:tc>
          <w:tcPr>
            <w:tcW w:w="4090" w:type="dxa"/>
          </w:tcPr>
          <w:p w:rsidR="00C0186B" w:rsidRPr="00402AA6" w:rsidRDefault="00C0186B" w:rsidP="00402AA6">
            <w:pPr>
              <w:rPr>
                <w:rFonts w:ascii="Arial" w:hAnsi="Arial" w:cs="Arial"/>
                <w:sz w:val="24"/>
              </w:rPr>
            </w:pPr>
            <w:r w:rsidRPr="00402AA6">
              <w:rPr>
                <w:rFonts w:ascii="Arial" w:hAnsi="Arial" w:cs="Arial"/>
                <w:sz w:val="24"/>
              </w:rPr>
              <w:t>N/A</w:t>
            </w:r>
          </w:p>
        </w:tc>
        <w:tc>
          <w:tcPr>
            <w:tcW w:w="4233" w:type="dxa"/>
          </w:tcPr>
          <w:p w:rsidR="00C0186B" w:rsidRPr="00402AA6" w:rsidRDefault="00C0186B" w:rsidP="00402AA6">
            <w:pPr>
              <w:rPr>
                <w:rFonts w:ascii="Arial" w:hAnsi="Arial" w:cs="Arial"/>
                <w:sz w:val="24"/>
              </w:rPr>
            </w:pPr>
            <w:r w:rsidRPr="00402AA6">
              <w:rPr>
                <w:rFonts w:ascii="Arial" w:hAnsi="Arial" w:cs="Arial"/>
                <w:sz w:val="24"/>
              </w:rPr>
              <w:t xml:space="preserve">Must be a U.S. corporation.  </w:t>
            </w:r>
          </w:p>
          <w:p w:rsidR="00C0186B" w:rsidRPr="00402AA6" w:rsidRDefault="00C0186B" w:rsidP="00402AA6">
            <w:pPr>
              <w:rPr>
                <w:rFonts w:ascii="Arial" w:hAnsi="Arial" w:cs="Arial"/>
                <w:sz w:val="24"/>
              </w:rPr>
            </w:pPr>
            <w:r w:rsidRPr="00402AA6">
              <w:rPr>
                <w:rFonts w:ascii="Arial" w:hAnsi="Arial" w:cs="Arial"/>
                <w:sz w:val="24"/>
              </w:rPr>
              <w:t xml:space="preserve">No Oil, Gas or Mining.  </w:t>
            </w:r>
          </w:p>
          <w:p w:rsidR="00C0186B" w:rsidRPr="00402AA6" w:rsidRDefault="00C0186B" w:rsidP="00402AA6">
            <w:pPr>
              <w:rPr>
                <w:rFonts w:ascii="Arial" w:hAnsi="Arial" w:cs="Arial"/>
                <w:sz w:val="24"/>
              </w:rPr>
            </w:pPr>
            <w:r w:rsidRPr="00402AA6">
              <w:rPr>
                <w:rFonts w:ascii="Arial" w:hAnsi="Arial" w:cs="Arial"/>
                <w:sz w:val="24"/>
              </w:rPr>
              <w:t>$5 Share minimum (IL $2, IN $2.50), no stock splits for 2 years after this offering.</w:t>
            </w:r>
            <w:r w:rsidR="00CC4882">
              <w:rPr>
                <w:rFonts w:ascii="Arial" w:hAnsi="Arial" w:cs="Arial"/>
                <w:sz w:val="24"/>
              </w:rPr>
              <w:t xml:space="preserve"> </w:t>
            </w:r>
            <w:r w:rsidRPr="00402AA6">
              <w:rPr>
                <w:rFonts w:ascii="Arial" w:hAnsi="Arial" w:cs="Arial"/>
                <w:sz w:val="24"/>
              </w:rPr>
              <w:t>No selling security holder shares can be registered.</w:t>
            </w:r>
          </w:p>
        </w:tc>
      </w:tr>
      <w:tr w:rsidR="00402AA6" w:rsidRPr="00402AA6" w:rsidTr="00402AA6">
        <w:tc>
          <w:tcPr>
            <w:tcW w:w="2502" w:type="dxa"/>
            <w:shd w:val="clear" w:color="auto" w:fill="F2F2F2" w:themeFill="background1" w:themeFillShade="F2"/>
          </w:tcPr>
          <w:p w:rsidR="00402AA6" w:rsidRPr="00692184" w:rsidRDefault="00402AA6" w:rsidP="00402AA6">
            <w:pPr>
              <w:rPr>
                <w:rFonts w:ascii="Arial" w:hAnsi="Arial" w:cs="Arial"/>
                <w:b/>
                <w:sz w:val="24"/>
              </w:rPr>
            </w:pPr>
            <w:r w:rsidRPr="00692184">
              <w:rPr>
                <w:rFonts w:ascii="Arial" w:hAnsi="Arial" w:cs="Arial"/>
                <w:b/>
                <w:sz w:val="24"/>
              </w:rPr>
              <w:t>Type of Security Permitted to be Issued</w:t>
            </w:r>
          </w:p>
        </w:tc>
        <w:tc>
          <w:tcPr>
            <w:tcW w:w="4090" w:type="dxa"/>
          </w:tcPr>
          <w:p w:rsidR="00402AA6" w:rsidRPr="00402AA6" w:rsidRDefault="00402AA6" w:rsidP="00402AA6">
            <w:pPr>
              <w:rPr>
                <w:rFonts w:ascii="Arial" w:hAnsi="Arial" w:cs="Arial"/>
                <w:sz w:val="24"/>
              </w:rPr>
            </w:pPr>
            <w:r w:rsidRPr="00402AA6">
              <w:rPr>
                <w:rFonts w:ascii="Arial" w:hAnsi="Arial" w:cs="Arial"/>
                <w:sz w:val="24"/>
              </w:rPr>
              <w:t>Any</w:t>
            </w:r>
          </w:p>
        </w:tc>
        <w:tc>
          <w:tcPr>
            <w:tcW w:w="4090" w:type="dxa"/>
          </w:tcPr>
          <w:p w:rsidR="00402AA6" w:rsidRPr="00402AA6" w:rsidRDefault="00402AA6" w:rsidP="00402AA6">
            <w:pPr>
              <w:rPr>
                <w:rFonts w:ascii="Arial" w:hAnsi="Arial" w:cs="Arial"/>
                <w:sz w:val="24"/>
              </w:rPr>
            </w:pPr>
            <w:r w:rsidRPr="00402AA6">
              <w:rPr>
                <w:rFonts w:ascii="Arial" w:hAnsi="Arial" w:cs="Arial"/>
                <w:sz w:val="24"/>
              </w:rPr>
              <w:t>All types (Common, Preferred, Debt)</w:t>
            </w:r>
          </w:p>
        </w:tc>
        <w:tc>
          <w:tcPr>
            <w:tcW w:w="4233" w:type="dxa"/>
          </w:tcPr>
          <w:p w:rsidR="00402AA6" w:rsidRPr="00402AA6" w:rsidRDefault="00402AA6" w:rsidP="00402AA6">
            <w:pPr>
              <w:rPr>
                <w:rFonts w:ascii="Arial" w:hAnsi="Arial" w:cs="Arial"/>
                <w:sz w:val="24"/>
              </w:rPr>
            </w:pPr>
            <w:r w:rsidRPr="00402AA6">
              <w:rPr>
                <w:rFonts w:ascii="Arial" w:hAnsi="Arial" w:cs="Arial"/>
                <w:sz w:val="24"/>
              </w:rPr>
              <w:t>Generally Used for Common Stock Only.  However, U-7, II.C contemplates issuing securities convertible into common stock.</w:t>
            </w:r>
          </w:p>
        </w:tc>
      </w:tr>
      <w:tr w:rsidR="00402AA6" w:rsidRPr="00402AA6" w:rsidTr="00402AA6">
        <w:tc>
          <w:tcPr>
            <w:tcW w:w="2502" w:type="dxa"/>
            <w:shd w:val="clear" w:color="auto" w:fill="F2F2F2" w:themeFill="background1" w:themeFillShade="F2"/>
          </w:tcPr>
          <w:p w:rsidR="00402AA6" w:rsidRPr="00692184" w:rsidRDefault="00402AA6" w:rsidP="00402AA6">
            <w:pPr>
              <w:rPr>
                <w:rFonts w:ascii="Arial" w:hAnsi="Arial" w:cs="Arial"/>
                <w:b/>
                <w:sz w:val="24"/>
              </w:rPr>
            </w:pPr>
            <w:r w:rsidRPr="00692184">
              <w:rPr>
                <w:rFonts w:ascii="Arial" w:hAnsi="Arial" w:cs="Arial"/>
                <w:b/>
                <w:sz w:val="24"/>
              </w:rPr>
              <w:t>Adopted Under Which 1933 Act Section?</w:t>
            </w:r>
          </w:p>
        </w:tc>
        <w:tc>
          <w:tcPr>
            <w:tcW w:w="4090" w:type="dxa"/>
          </w:tcPr>
          <w:p w:rsidR="00402AA6" w:rsidRPr="00402AA6" w:rsidRDefault="00402AA6" w:rsidP="00402AA6">
            <w:pPr>
              <w:rPr>
                <w:rFonts w:ascii="Arial" w:hAnsi="Arial" w:cs="Arial"/>
                <w:sz w:val="24"/>
              </w:rPr>
            </w:pPr>
            <w:r w:rsidRPr="00402AA6">
              <w:rPr>
                <w:rFonts w:ascii="Arial" w:hAnsi="Arial" w:cs="Arial"/>
                <w:sz w:val="24"/>
              </w:rPr>
              <w:t>§ 4(2) of 1933 Act (Any transaction not involving a “public offering”.)</w:t>
            </w:r>
          </w:p>
        </w:tc>
        <w:tc>
          <w:tcPr>
            <w:tcW w:w="4090" w:type="dxa"/>
          </w:tcPr>
          <w:p w:rsidR="00402AA6" w:rsidRPr="00402AA6" w:rsidRDefault="00402AA6" w:rsidP="00402AA6">
            <w:pPr>
              <w:rPr>
                <w:rFonts w:ascii="Arial" w:hAnsi="Arial" w:cs="Arial"/>
                <w:sz w:val="24"/>
              </w:rPr>
            </w:pPr>
            <w:r w:rsidRPr="00402AA6">
              <w:rPr>
                <w:rFonts w:ascii="Arial" w:hAnsi="Arial" w:cs="Arial"/>
                <w:sz w:val="24"/>
              </w:rPr>
              <w:t>§ 4(2) of 1933 Act (Any transaction not involving a “public offering”.)</w:t>
            </w:r>
          </w:p>
        </w:tc>
        <w:tc>
          <w:tcPr>
            <w:tcW w:w="4233" w:type="dxa"/>
          </w:tcPr>
          <w:p w:rsidR="00402AA6" w:rsidRPr="00402AA6" w:rsidRDefault="00402AA6" w:rsidP="00402AA6">
            <w:pPr>
              <w:rPr>
                <w:rFonts w:ascii="Arial" w:hAnsi="Arial" w:cs="Arial"/>
                <w:sz w:val="24"/>
              </w:rPr>
            </w:pPr>
            <w:r w:rsidRPr="00402AA6">
              <w:rPr>
                <w:rFonts w:ascii="Arial" w:hAnsi="Arial" w:cs="Arial"/>
                <w:sz w:val="24"/>
              </w:rPr>
              <w:t>§ 3(b) of 1933 Act (Small Public offerings up to $5,000,000)</w:t>
            </w:r>
          </w:p>
        </w:tc>
      </w:tr>
    </w:tbl>
    <w:p w:rsidR="000B1CB2" w:rsidRPr="00402AA6" w:rsidRDefault="000B1CB2" w:rsidP="00402AA6">
      <w:pPr>
        <w:rPr>
          <w:rFonts w:ascii="Arial" w:hAnsi="Arial" w:cs="Arial"/>
        </w:rPr>
      </w:pPr>
      <w:r w:rsidRPr="00402AA6">
        <w:rPr>
          <w:rFonts w:ascii="Arial" w:hAnsi="Arial" w:cs="Arial"/>
        </w:rPr>
        <w:t>_______________________________</w:t>
      </w:r>
    </w:p>
    <w:p w:rsidR="000B1CB2" w:rsidRPr="00402AA6" w:rsidRDefault="000B1CB2" w:rsidP="00402AA6">
      <w:pPr>
        <w:rPr>
          <w:rFonts w:ascii="Arial" w:hAnsi="Arial" w:cs="Arial"/>
        </w:rPr>
      </w:pPr>
    </w:p>
    <w:p w:rsidR="000B1CB2" w:rsidRPr="00402AA6" w:rsidRDefault="000B1CB2" w:rsidP="00402AA6">
      <w:pPr>
        <w:rPr>
          <w:rFonts w:ascii="Arial" w:hAnsi="Arial" w:cs="Arial"/>
        </w:rPr>
      </w:pPr>
      <w:r w:rsidRPr="00402AA6">
        <w:rPr>
          <w:rFonts w:ascii="Arial" w:hAnsi="Arial" w:cs="Arial"/>
        </w:rPr>
        <w:t>This chart is the copyrighted work product of Nancy Fallon-Houle and is not authorized to be given to, or used by, any person other than those to whom it has been given by Ms. Fallon-Houle.</w:t>
      </w:r>
    </w:p>
    <w:sectPr w:rsidR="000B1CB2" w:rsidRPr="00402AA6" w:rsidSect="00C0186B">
      <w:headerReference w:type="default" r:id="rId8"/>
      <w:endnotePr>
        <w:numFmt w:val="decimal"/>
        <w:numStart w:val="0"/>
      </w:endnotePr>
      <w:pgSz w:w="15840" w:h="12240" w:orient="landscape" w:code="1"/>
      <w:pgMar w:top="475" w:right="475" w:bottom="475" w:left="72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82" w:rsidRDefault="00CC4882">
      <w:r>
        <w:separator/>
      </w:r>
    </w:p>
  </w:endnote>
  <w:endnote w:type="continuationSeparator" w:id="0">
    <w:p w:rsidR="00CC4882" w:rsidRDefault="00CC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82" w:rsidRDefault="00CC4882">
      <w:r>
        <w:separator/>
      </w:r>
    </w:p>
  </w:footnote>
  <w:footnote w:type="continuationSeparator" w:id="0">
    <w:p w:rsidR="00CC4882" w:rsidRDefault="00CC4882">
      <w:r>
        <w:continuationSeparator/>
      </w:r>
    </w:p>
  </w:footnote>
  <w:footnote w:id="1">
    <w:p w:rsidR="00CC4882" w:rsidRDefault="00CC4882">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Includes all securities of the issuer sold within the last 12 months, before the start of, and during the current offering, including any securities sold under Rule 504, Reg A, §3(b), or unregistered.  Includes securities sold for cash, or issued for any other consideration, including services, property, loans or other securities.  Limit includes stock issued in connection with a merger or acquisition.  Limit does not include stock issued under a valid §4(2) or Reg D 506 Offering.</w:t>
      </w:r>
    </w:p>
  </w:footnote>
  <w:footnote w:id="2">
    <w:p w:rsidR="00CC4882" w:rsidRDefault="00CC4882">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Accredited Investor means an individual investor having $1,000,000 net worth (excluding residence) or $200,000 income or $300,000 joint income; or an entity with $5,000,000 in assets or all of its equity owners are accredited.</w:t>
      </w:r>
    </w:p>
  </w:footnote>
  <w:footnote w:id="3">
    <w:p w:rsidR="00CC4882" w:rsidRDefault="00CC4882">
      <w:pPr>
        <w:pStyle w:val="FootnoteText"/>
      </w:pPr>
      <w:r>
        <w:rPr>
          <w:rStyle w:val="FootnoteReference"/>
        </w:rPr>
        <w:footnoteRef/>
      </w:r>
      <w:r>
        <w:t xml:space="preserve"> </w:t>
      </w:r>
      <w:r>
        <w:tab/>
      </w:r>
      <w:r>
        <w:rPr>
          <w:rFonts w:ascii="Times New Roman" w:hAnsi="Times New Roman"/>
        </w:rPr>
        <w:t>This chart does not include a summary of the new state Model Accredited Investor Exemptions which permit general solicitation (Internet or otherwise) to confirmed accredited investors through subscription services such as Ace.Net or IPO.Net, etc. al., with a notice filing and fee in the state.  Such notice filings are due prior to Internet offers in some states, but in other states they are not due until 15 days after a sale has been made in that state.  Because such exemptions are very new and are in a state of flux, such exemptions will be examined at the time relied upon for each individual client requesting the analysis, on state-by-state basis, considering the specific aspects of the client’s offering.</w:t>
      </w:r>
    </w:p>
  </w:footnote>
  <w:footnote w:id="4">
    <w:p w:rsidR="00CC4882" w:rsidRDefault="00CC4882">
      <w:pPr>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The legal fees are directly affected by: (1) The Issuer’s ability to promptly provide, in an organized manner: (a) thorough responses to due diligence questions and               (b) thorough disclosure information (factual and financial) about the Issuer, its principals, and its business, its subs and affiliates and their principals, the current and prior business affiliations of all principals, regulatory action against any of the former, description of the business, the industry, competitors, suppliers, customers, risk factors and litigation disclosure.  </w:t>
      </w:r>
    </w:p>
    <w:p w:rsidR="00CC4882" w:rsidRDefault="00CC4882">
      <w:pPr>
        <w:ind w:firstLine="720"/>
        <w:rPr>
          <w:rFonts w:ascii="Times New Roman" w:hAnsi="Times New Roman"/>
        </w:rPr>
      </w:pPr>
      <w:r>
        <w:rPr>
          <w:rFonts w:ascii="Times New Roman" w:hAnsi="Times New Roman"/>
        </w:rPr>
        <w:t>The lower range of legal fee estimates assumes:  (1) Simple corporate structure with no subs or affiliates, (2) No brokers, finders, electronic market, or other person or entity selling the Shares, (3) No unusual disclosure items regarding principals or issuer, or prior regulatory action, (4) No corporate clean up, (5) No significant prior unregistered sales of Shares other than to founders, officers and key employees, and that such sales were properly blue skied, (6) No issues with name, trademark or IP, (7) Financial statements are in order, (8) Issuer is attentive to offering process with attorney and is forthcoming with info. And (9) No significant negotiation of, or changes to the escrow agreement.</w:t>
      </w:r>
    </w:p>
    <w:p w:rsidR="00CC4882" w:rsidRDefault="00CC4882">
      <w:pPr>
        <w:pStyle w:val="FootnoteText"/>
        <w:ind w:firstLine="720"/>
      </w:pPr>
      <w:r>
        <w:rPr>
          <w:rFonts w:ascii="Times New Roman" w:hAnsi="Times New Roman"/>
        </w:rPr>
        <w:t>If the Issuer selects a point person to field attorney questions and to be responsible for turning around information requests, both time and money will be saved.  In addition, if the issuer employs an outside accountant familiar with the financial statement requirements under Regulation S-X, to prepare the Issuer’s financials, then the attorney time being involved with the financial statements will be reduced significantly.  These legal fees include attorney due diligence of the Issuer, D &amp; O questionnaires, writing the offering document, subscription agreement, escrow agreement, and preparing securities opinion of counsel.  These legal fees are estimates only; legal fees will be charged hourly and the total fees will depend on many factors that are not predictable before the start of due diligence.</w:t>
      </w:r>
    </w:p>
  </w:footnote>
  <w:footnote w:id="5">
    <w:p w:rsidR="00CC4882" w:rsidRDefault="00CC4882">
      <w:r>
        <w:rPr>
          <w:rStyle w:val="FootnoteReference"/>
        </w:rPr>
        <w:footnoteRef/>
      </w:r>
      <w:r>
        <w:t xml:space="preserve">  </w:t>
      </w:r>
      <w:r>
        <w:tab/>
      </w:r>
      <w:r>
        <w:rPr>
          <w:rFonts w:ascii="Times New Roman" w:hAnsi="Times New Roman"/>
        </w:rPr>
        <w:t>Issuers, and investors, should be aware that, although Rule 504 and Reg A securities are freely tradable, the shares are not listable on most exchanges until the issuer produces audited financials, and files and clears them on a Form 10 with the SEC; and the shares must also meet certain financial requirements of such exchanges.  Even the lowest level exchange, the OTC Bulletin Board requires, as a condition to listing, that the issuer first file and clear with the SEC, the issuer’s audited financial statements.  Further, a condition to listing on the NASDAQ Small Cap is that the issuer’s net income-before-taxes reaches $750,000 or net worth reaches $4 million.  The Chicago Stock Exchange (CHX) has certain financial requirements as well.  NASDAQ Global Market listing requires that the issuer’s net income before taxes reach $1 million and its net tangible assets reach $6 million.  Listing on any of these exchanges except CHX requires that the issuer secure at least 2 or 3 market makers.  There are a very limited number of markets in which the shares can be sold until such financial requirements and filings are met, or until the shares are ultimately listed on NASDAQ Global Market.</w:t>
      </w:r>
    </w:p>
  </w:footnote>
  <w:footnote w:id="6">
    <w:p w:rsidR="00CC4882" w:rsidRDefault="00CC4882">
      <w:pPr>
        <w:pStyle w:val="FootnoteText"/>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Securities registration is streamlined, however “agent of issuer” registration is required before offers and sales can be made in this state.</w:t>
      </w:r>
    </w:p>
  </w:footnote>
  <w:footnote w:id="7">
    <w:p w:rsidR="00CC4882" w:rsidRDefault="00CC4882">
      <w:pPr>
        <w:pStyle w:val="FootnoteText"/>
      </w:pPr>
      <w:r>
        <w:rPr>
          <w:rStyle w:val="FootnoteReference"/>
        </w:rPr>
        <w:footnoteRef/>
      </w:r>
      <w:r>
        <w:t xml:space="preserve"> </w:t>
      </w:r>
      <w:r>
        <w:rPr>
          <w:rFonts w:ascii="Times New Roman" w:hAnsi="Times New Roman"/>
        </w:rPr>
        <w:tab/>
        <w:t xml:space="preserve">Merit review state </w:t>
      </w:r>
      <w:r>
        <w:rPr>
          <w:rFonts w:ascii="Times New Roman" w:hAnsi="Times New Roman"/>
          <w:u w:val="single"/>
        </w:rPr>
        <w:t>and</w:t>
      </w:r>
      <w:r>
        <w:rPr>
          <w:rFonts w:ascii="Times New Roman" w:hAnsi="Times New Roman"/>
        </w:rPr>
        <w:t xml:space="preserve"> “agent of issuer” registration is required.</w:t>
      </w:r>
    </w:p>
  </w:footnote>
  <w:footnote w:id="8">
    <w:p w:rsidR="00CC4882" w:rsidRDefault="00CC4882">
      <w:pPr>
        <w:pStyle w:val="FootnoteText"/>
      </w:pPr>
      <w:r>
        <w:rPr>
          <w:rStyle w:val="FootnoteReference"/>
        </w:rPr>
        <w:footnoteRef/>
      </w:r>
      <w:r>
        <w:t xml:space="preserve"> </w:t>
      </w:r>
      <w:r>
        <w:rPr>
          <w:rFonts w:ascii="Times New Roman" w:hAnsi="Times New Roman"/>
        </w:rPr>
        <w:tab/>
        <w:t xml:space="preserve">Offering will not be cleared in </w:t>
      </w:r>
      <w:smartTag w:uri="urn:schemas-microsoft-com:office:smarttags" w:element="State">
        <w:r>
          <w:rPr>
            <w:rFonts w:ascii="Times New Roman" w:hAnsi="Times New Roman"/>
          </w:rPr>
          <w:t>Louisiana</w:t>
        </w:r>
      </w:smartTag>
      <w:r>
        <w:rPr>
          <w:rFonts w:ascii="Times New Roman" w:hAnsi="Times New Roman"/>
        </w:rPr>
        <w:t xml:space="preserve"> unless a Louisiana-registered broker is used in </w:t>
      </w:r>
      <w:smartTag w:uri="urn:schemas-microsoft-com:office:smarttags" w:element="State">
        <w:smartTag w:uri="urn:schemas-microsoft-com:office:smarttags" w:element="place">
          <w:r>
            <w:rPr>
              <w:rFonts w:ascii="Times New Roman" w:hAnsi="Times New Roman"/>
            </w:rPr>
            <w:t>Louisiana</w:t>
          </w:r>
        </w:smartTag>
      </w:smartTag>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882" w:rsidRDefault="00434C17">
    <w:pPr>
      <w:pStyle w:val="Header"/>
      <w:jc w:val="right"/>
      <w:rPr>
        <w:rStyle w:val="PageNumber"/>
        <w:rFonts w:ascii="Arial" w:hAnsi="Arial" w:cs="Arial"/>
        <w:sz w:val="24"/>
        <w:szCs w:val="24"/>
      </w:rPr>
    </w:pPr>
    <w:r>
      <w:rPr>
        <w:rStyle w:val="PageNumber"/>
        <w:rFonts w:ascii="Arial" w:hAnsi="Arial" w:cs="Arial"/>
        <w:sz w:val="24"/>
        <w:szCs w:val="24"/>
      </w:rPr>
      <w:t>April 5, 2016</w:t>
    </w:r>
    <w:r w:rsidR="00CC4882">
      <w:rPr>
        <w:rStyle w:val="PageNumber"/>
        <w:rFonts w:ascii="Arial" w:hAnsi="Arial" w:cs="Arial"/>
        <w:sz w:val="24"/>
        <w:szCs w:val="24"/>
      </w:rPr>
      <w:t xml:space="preserve">        </w:t>
    </w:r>
    <w:r w:rsidR="00CC4882" w:rsidRPr="001553CD">
      <w:rPr>
        <w:rStyle w:val="PageNumber"/>
        <w:rFonts w:ascii="Arial" w:hAnsi="Arial" w:cs="Arial"/>
        <w:sz w:val="24"/>
        <w:szCs w:val="24"/>
      </w:rPr>
      <w:t xml:space="preserve">Page </w:t>
    </w:r>
    <w:r w:rsidR="00CC4882" w:rsidRPr="001553CD">
      <w:rPr>
        <w:rStyle w:val="PageNumber"/>
        <w:rFonts w:ascii="Arial" w:hAnsi="Arial" w:cs="Arial"/>
        <w:sz w:val="24"/>
        <w:szCs w:val="24"/>
      </w:rPr>
      <w:fldChar w:fldCharType="begin"/>
    </w:r>
    <w:r w:rsidR="00CC4882" w:rsidRPr="001553CD">
      <w:rPr>
        <w:rStyle w:val="PageNumber"/>
        <w:rFonts w:ascii="Arial" w:hAnsi="Arial" w:cs="Arial"/>
        <w:sz w:val="24"/>
        <w:szCs w:val="24"/>
      </w:rPr>
      <w:instrText xml:space="preserve"> PAGE </w:instrText>
    </w:r>
    <w:r w:rsidR="00CC4882" w:rsidRPr="001553CD">
      <w:rPr>
        <w:rStyle w:val="PageNumber"/>
        <w:rFonts w:ascii="Arial" w:hAnsi="Arial" w:cs="Arial"/>
        <w:sz w:val="24"/>
        <w:szCs w:val="24"/>
      </w:rPr>
      <w:fldChar w:fldCharType="separate"/>
    </w:r>
    <w:r w:rsidR="00385780">
      <w:rPr>
        <w:rStyle w:val="PageNumber"/>
        <w:rFonts w:ascii="Arial" w:hAnsi="Arial" w:cs="Arial"/>
        <w:noProof/>
        <w:sz w:val="24"/>
        <w:szCs w:val="24"/>
      </w:rPr>
      <w:t>2</w:t>
    </w:r>
    <w:r w:rsidR="00CC4882" w:rsidRPr="001553CD">
      <w:rPr>
        <w:rStyle w:val="PageNumber"/>
        <w:rFonts w:ascii="Arial" w:hAnsi="Arial" w:cs="Arial"/>
        <w:sz w:val="24"/>
        <w:szCs w:val="24"/>
      </w:rPr>
      <w:fldChar w:fldCharType="end"/>
    </w:r>
    <w:r w:rsidR="00CC4882" w:rsidRPr="001553CD">
      <w:rPr>
        <w:rStyle w:val="PageNumber"/>
        <w:rFonts w:ascii="Arial" w:hAnsi="Arial" w:cs="Arial"/>
        <w:sz w:val="24"/>
        <w:szCs w:val="24"/>
      </w:rPr>
      <w:t xml:space="preserve"> of </w:t>
    </w:r>
    <w:r w:rsidR="00CC4882" w:rsidRPr="001553CD">
      <w:rPr>
        <w:rStyle w:val="PageNumber"/>
        <w:rFonts w:ascii="Arial" w:hAnsi="Arial" w:cs="Arial"/>
        <w:sz w:val="24"/>
        <w:szCs w:val="24"/>
      </w:rPr>
      <w:fldChar w:fldCharType="begin"/>
    </w:r>
    <w:r w:rsidR="00CC4882" w:rsidRPr="001553CD">
      <w:rPr>
        <w:rStyle w:val="PageNumber"/>
        <w:rFonts w:ascii="Arial" w:hAnsi="Arial" w:cs="Arial"/>
        <w:sz w:val="24"/>
        <w:szCs w:val="24"/>
      </w:rPr>
      <w:instrText xml:space="preserve"> NUMPAGES </w:instrText>
    </w:r>
    <w:r w:rsidR="00CC4882" w:rsidRPr="001553CD">
      <w:rPr>
        <w:rStyle w:val="PageNumber"/>
        <w:rFonts w:ascii="Arial" w:hAnsi="Arial" w:cs="Arial"/>
        <w:sz w:val="24"/>
        <w:szCs w:val="24"/>
      </w:rPr>
      <w:fldChar w:fldCharType="separate"/>
    </w:r>
    <w:r w:rsidR="00385780">
      <w:rPr>
        <w:rStyle w:val="PageNumber"/>
        <w:rFonts w:ascii="Arial" w:hAnsi="Arial" w:cs="Arial"/>
        <w:noProof/>
        <w:sz w:val="24"/>
        <w:szCs w:val="24"/>
      </w:rPr>
      <w:t>9</w:t>
    </w:r>
    <w:r w:rsidR="00CC4882" w:rsidRPr="001553CD">
      <w:rPr>
        <w:rStyle w:val="PageNumber"/>
        <w:rFonts w:ascii="Arial" w:hAnsi="Arial" w:cs="Arial"/>
        <w:sz w:val="24"/>
        <w:szCs w:val="24"/>
      </w:rPr>
      <w:fldChar w:fldCharType="end"/>
    </w:r>
  </w:p>
  <w:p w:rsidR="00CC4882" w:rsidRPr="001553CD" w:rsidRDefault="00CC4882">
    <w:pPr>
      <w:pStyle w:val="Header"/>
      <w:jc w:val="right"/>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FA"/>
    <w:rsid w:val="00032780"/>
    <w:rsid w:val="0006625D"/>
    <w:rsid w:val="000B1CB2"/>
    <w:rsid w:val="001366FF"/>
    <w:rsid w:val="001553CD"/>
    <w:rsid w:val="001A16C0"/>
    <w:rsid w:val="00200447"/>
    <w:rsid w:val="00221488"/>
    <w:rsid w:val="002235F3"/>
    <w:rsid w:val="00262157"/>
    <w:rsid w:val="002907DC"/>
    <w:rsid w:val="002A2BA0"/>
    <w:rsid w:val="002F3AFB"/>
    <w:rsid w:val="003418A0"/>
    <w:rsid w:val="00385780"/>
    <w:rsid w:val="00402AA6"/>
    <w:rsid w:val="00434C17"/>
    <w:rsid w:val="004A50CE"/>
    <w:rsid w:val="004B01F0"/>
    <w:rsid w:val="004C2FAC"/>
    <w:rsid w:val="004C668D"/>
    <w:rsid w:val="00570018"/>
    <w:rsid w:val="0059188A"/>
    <w:rsid w:val="005959F7"/>
    <w:rsid w:val="005C13AC"/>
    <w:rsid w:val="00625900"/>
    <w:rsid w:val="00662B8B"/>
    <w:rsid w:val="006767A7"/>
    <w:rsid w:val="00692184"/>
    <w:rsid w:val="006A23AC"/>
    <w:rsid w:val="006A3036"/>
    <w:rsid w:val="006F1AF4"/>
    <w:rsid w:val="00763675"/>
    <w:rsid w:val="0077036B"/>
    <w:rsid w:val="007A37BD"/>
    <w:rsid w:val="007D2E1D"/>
    <w:rsid w:val="007D3234"/>
    <w:rsid w:val="007D3C54"/>
    <w:rsid w:val="007D3E7F"/>
    <w:rsid w:val="008605CD"/>
    <w:rsid w:val="008D14F3"/>
    <w:rsid w:val="009015EF"/>
    <w:rsid w:val="009277C3"/>
    <w:rsid w:val="00961627"/>
    <w:rsid w:val="009B4F78"/>
    <w:rsid w:val="009E32FB"/>
    <w:rsid w:val="009F3A77"/>
    <w:rsid w:val="009F72BE"/>
    <w:rsid w:val="00A01566"/>
    <w:rsid w:val="00A048C2"/>
    <w:rsid w:val="00A254F3"/>
    <w:rsid w:val="00AC7B02"/>
    <w:rsid w:val="00B0372F"/>
    <w:rsid w:val="00B32B99"/>
    <w:rsid w:val="00B54F96"/>
    <w:rsid w:val="00B92BA4"/>
    <w:rsid w:val="00B9390A"/>
    <w:rsid w:val="00BD27E3"/>
    <w:rsid w:val="00BF1422"/>
    <w:rsid w:val="00C0186B"/>
    <w:rsid w:val="00CA2461"/>
    <w:rsid w:val="00CB11AA"/>
    <w:rsid w:val="00CC01FA"/>
    <w:rsid w:val="00CC4882"/>
    <w:rsid w:val="00CD2738"/>
    <w:rsid w:val="00CD3539"/>
    <w:rsid w:val="00CF3169"/>
    <w:rsid w:val="00D70F0B"/>
    <w:rsid w:val="00E13ACF"/>
    <w:rsid w:val="00E166B6"/>
    <w:rsid w:val="00E20D6F"/>
    <w:rsid w:val="00E27C33"/>
    <w:rsid w:val="00E30EB2"/>
    <w:rsid w:val="00E41DA4"/>
    <w:rsid w:val="00E55561"/>
    <w:rsid w:val="00E86B78"/>
    <w:rsid w:val="00F17520"/>
    <w:rsid w:val="00F75B70"/>
    <w:rsid w:val="00F87AD2"/>
    <w:rsid w:val="00F91D69"/>
    <w:rsid w:val="00FB6F68"/>
    <w:rsid w:val="00FC7013"/>
    <w:rsid w:val="00FD2C05"/>
    <w:rsid w:val="00FD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MS Sans Seri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outlineLvl w:val="0"/>
    </w:pPr>
    <w:rPr>
      <w:rFonts w:ascii="Times New Roman" w:hAnsi="Times New Roman"/>
      <w:b/>
      <w:sz w:val="24"/>
    </w:rPr>
  </w:style>
  <w:style w:type="paragraph" w:styleId="Heading2">
    <w:name w:val="heading 2"/>
    <w:basedOn w:val="Normal"/>
    <w:next w:val="Normal"/>
    <w:link w:val="Heading2Char"/>
    <w:uiPriority w:val="9"/>
    <w:qFormat/>
    <w:pPr>
      <w:keepNext/>
      <w:outlineLvl w:val="1"/>
    </w:pPr>
    <w:rPr>
      <w:rFonts w:ascii="Times New Roman" w:hAnsi="Times New Roman"/>
      <w:sz w:val="24"/>
    </w:rPr>
  </w:style>
  <w:style w:type="paragraph" w:styleId="Heading3">
    <w:name w:val="heading 3"/>
    <w:basedOn w:val="Normal"/>
    <w:next w:val="Normal"/>
    <w:link w:val="Heading3Char"/>
    <w:uiPriority w:val="9"/>
    <w:qFormat/>
    <w:pPr>
      <w:keepNext/>
      <w:jc w:val="cente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7C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437C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37C3"/>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0437C3"/>
    <w:rPr>
      <w:rFonts w:cs="Times New Roman"/>
    </w:rPr>
  </w:style>
  <w:style w:type="character" w:styleId="FootnoteReference">
    <w:name w:val="footnote reference"/>
    <w:basedOn w:val="DefaultParagraphFont"/>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437C3"/>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437C3"/>
    <w:rPr>
      <w:rFonts w:cs="Times New Roman"/>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rPr>
      <w:rFonts w:ascii="Times New Roman" w:hAnsi="Times New Roman"/>
      <w:sz w:val="24"/>
    </w:rPr>
  </w:style>
  <w:style w:type="character" w:customStyle="1" w:styleId="BodyTextChar">
    <w:name w:val="Body Text Char"/>
    <w:basedOn w:val="DefaultParagraphFont"/>
    <w:link w:val="BodyText"/>
    <w:uiPriority w:val="99"/>
    <w:semiHidden/>
    <w:rsid w:val="000437C3"/>
    <w:rPr>
      <w:rFonts w:cs="Times New Roman"/>
    </w:rPr>
  </w:style>
  <w:style w:type="character" w:styleId="Hyperlink">
    <w:name w:val="Hyperlink"/>
    <w:basedOn w:val="DefaultParagraphFont"/>
    <w:uiPriority w:val="99"/>
    <w:rPr>
      <w:color w:val="0000FF"/>
      <w:u w:val="single"/>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sid w:val="000437C3"/>
    <w:rPr>
      <w:rFonts w:cs="Times New Roman"/>
    </w:rPr>
  </w:style>
  <w:style w:type="character" w:styleId="EndnoteReference">
    <w:name w:val="endnote reference"/>
    <w:basedOn w:val="DefaultParagraphFont"/>
    <w:uiPriority w:val="99"/>
    <w:semiHidden/>
    <w:rPr>
      <w:vertAlign w:val="superscript"/>
    </w:rPr>
  </w:style>
  <w:style w:type="paragraph" w:styleId="Title">
    <w:name w:val="Title"/>
    <w:basedOn w:val="Normal"/>
    <w:link w:val="TitleChar"/>
    <w:uiPriority w:val="10"/>
    <w:qFormat/>
    <w:rsid w:val="001553CD"/>
    <w:pPr>
      <w:jc w:val="center"/>
    </w:pPr>
    <w:rPr>
      <w:rFonts w:ascii="Arial" w:hAnsi="Arial"/>
      <w:b/>
      <w:sz w:val="24"/>
    </w:rPr>
  </w:style>
  <w:style w:type="character" w:customStyle="1" w:styleId="TitleChar">
    <w:name w:val="Title Char"/>
    <w:basedOn w:val="DefaultParagraphFont"/>
    <w:link w:val="Title"/>
    <w:uiPriority w:val="10"/>
    <w:rsid w:val="000437C3"/>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rsid w:val="002A2BA0"/>
    <w:rPr>
      <w:rFonts w:ascii="Tahoma" w:hAnsi="Tahoma" w:cs="Tahoma"/>
      <w:sz w:val="16"/>
      <w:szCs w:val="16"/>
    </w:rPr>
  </w:style>
  <w:style w:type="character" w:customStyle="1" w:styleId="BalloonTextChar">
    <w:name w:val="Balloon Text Char"/>
    <w:basedOn w:val="DefaultParagraphFont"/>
    <w:link w:val="BalloonText"/>
    <w:uiPriority w:val="99"/>
    <w:locked/>
    <w:rsid w:val="002A2BA0"/>
    <w:rPr>
      <w:rFonts w:ascii="Tahoma" w:hAnsi="Tahoma"/>
      <w:sz w:val="16"/>
    </w:rPr>
  </w:style>
  <w:style w:type="table" w:styleId="TableGrid">
    <w:name w:val="Table Grid"/>
    <w:basedOn w:val="TableNormal"/>
    <w:rsid w:val="0040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410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elocity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allon@velocitylaw.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2692</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2005-05-16T05:33:00Z</cp:lastPrinted>
  <dcterms:created xsi:type="dcterms:W3CDTF">2016-04-06T00:54:00Z</dcterms:created>
  <dcterms:modified xsi:type="dcterms:W3CDTF">2016-04-06T00:54:00Z</dcterms:modified>
</cp:coreProperties>
</file>